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Pendekatan Klinis dan Konseptual pada Struma dalam Praktik Kedokteran</w:t>
      </w:r>
    </w:p>
    <w:p w:rsidR="00000000" w:rsidDel="00000000" w:rsidP="00000000" w:rsidRDefault="00000000" w:rsidRPr="00000000" w14:paraId="00000002">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Andy Achmad Suanda </w:t>
      </w:r>
    </w:p>
    <w:p w:rsidR="00000000" w:rsidDel="00000000" w:rsidP="00000000" w:rsidRDefault="00000000" w:rsidRPr="00000000" w14:paraId="00000003">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Abstrak</w:t>
      </w:r>
      <w:r w:rsidDel="00000000" w:rsidR="00000000" w:rsidRPr="00000000">
        <w:rPr>
          <w:rFonts w:ascii="Times New Roman" w:cs="Times New Roman" w:eastAsia="Times New Roman" w:hAnsi="Times New Roman"/>
          <w:sz w:val="24"/>
          <w:szCs w:val="24"/>
          <w:rtl w:val="0"/>
        </w:rPr>
        <w:br w:type="textWrapping"/>
        <w:t xml:space="preserve">Struma merupakan pembesaran kelenjar tiroid yang masih sering dijumpai dalam praktik klinis dan dapat mencerminkan berbagai proses patologis dengan etiologi serta implikasi klinis yang beragam. Kondisi ini tidak hanya terkait dengan gangguan fungsi tiroid, tetapi juga dapat menimbulkan dampak mekanik, estetika, dan psikososial yang memengaruhi kualitas hidup pasien. Penyebab struma meliputi defisiensi yodium, gangguan autoimun seperti penyakit Hashimoto atau Graves, nodul tiroid, hingga kelainan neoplastik. Variasi manifestasi klinis yang luas menuntut evaluasi pasien secara sistematis, termasuk anamnesis rinci, pemeriksaan fisik, pemeriksaan laboratorium fungsi tiroid, dan pemeriksaan pencitraan seperti ultrasonografi atau biopsi jarum halus bila diperlukan. Artikel ini bertujuan menyajikan tinjauan komprehensif mengenai struma dari perspektif konseptual dan klinis, dengan menekankan mekanisme pembesaran kelenjar tiroid, variasi gambaran klinis, pendekatan diagnostik, serta prinsip penatalaksanaan yang relevan. Penulisan dilakukan menggunakan metode studi literatur, dengan meninjau buku ajar kedokteran, pedoman praktik klinis, dan artikel ilmiah nasional maupun internasional yang relevan. Sintesis literatur menunjukkan bahwa penatalaksanaan struma dapat berupa terapi konservatif maupun intervensi bedah, disertai pemantauan jangka panjang untuk mencegah komplikasi dan meningkatkan kualitas hidup. Artikel ini diharapkan memberikan ulasan konseptual dan klinis yang koheren mengenai struma, membantu pembaca memahami gambaran penyakit secara menyeluruh, serta menjadi referensi bagi praktik kedokteran berbasis bukti.</w:t>
      </w:r>
    </w:p>
    <w:p w:rsidR="00000000" w:rsidDel="00000000" w:rsidP="00000000" w:rsidRDefault="00000000" w:rsidRPr="00000000" w14:paraId="00000005">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Kata kunci: struma, kelenjar tiroid, pembesaran tiroid, gangguan tiroid</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r>
      <w:r w:rsidDel="00000000" w:rsidR="00000000" w:rsidRPr="00000000">
        <w:rPr>
          <w:rFonts w:ascii="Times New Roman" w:cs="Times New Roman" w:eastAsia="Times New Roman" w:hAnsi="Times New Roman"/>
          <w:sz w:val="24"/>
          <w:szCs w:val="24"/>
          <w:rtl w:val="0"/>
        </w:rPr>
        <w:br w:type="textWrapping"/>
        <w:t xml:space="preserve">Kelenjar tiroid merupakan organ endokrin yang memiliki peran penting dalam regulasi metabolisme basal, pertumbuhan, dan perkembangan melalui sekresi hormon tiroksin (T4) dan triiodotironin (T3)</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Keseimbangan fungsi tiroid diperlukan untuk mempertahankan homeostasis berbagai sistem organ, sehingga perubahan struktural maupun fungsional pada kelenjar ini dapat menimbulkan dampak klinis yang luas</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Salah satu manifestasi yang paling mudah dikenali dari gangguan kelenjar tiroid adalah struma, yaitu pembesaran kelenjar tiroid yang dapat terdeteksi secara klinis maupun melalui pemeriksaan penunjang</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Struma bukan merupakan suatu entitas penyakit tunggal, melainkan tanda klinis yang dapat ditemukan pada berbagai kondisi dengan latar belakang etiologi yang beragam</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Pembesaran kelenjar tiroid dapat terjadi pada keadaan fungsi tiroid yang normal, meningkat, ataupun menurun, sehingga keberadaannya tidak selalu mencerminkan gangguan hormonal secara langsung</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Kondisi ini menuntut pendekatan klinis yang komprehensif, karena penilaian terhadap struma tidak hanya berfokus pada ukuran kelenjar, tetapi juga harus mempertimbangkan mekanisme patofisiologis yang mendasari serta implikasinya terhadap fungsi tubuh secara keseluruhan</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praktik klinis sehari-hari, struma sering menjadi alasan utama pasien mencari pertolongan medis</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Keluhan dapat berkisar dari perubahan penampilan leher yang bersifat kosmetik hingga gejala mekanik akibat efek kompresi terhadap struktur sekitarnya, seperti disfagia, dispnea, atau perubahan suara</w:t>
      </w:r>
      <w:r w:rsidDel="00000000" w:rsidR="00000000" w:rsidRPr="00000000">
        <w:rPr>
          <w:rFonts w:ascii="Times New Roman" w:cs="Times New Roman" w:eastAsia="Times New Roman" w:hAnsi="Times New Roman"/>
          <w:sz w:val="24"/>
          <w:szCs w:val="24"/>
          <w:vertAlign w:val="superscript"/>
          <w:rtl w:val="0"/>
        </w:rPr>
        <w:t xml:space="preserve">2,8</w:t>
      </w:r>
      <w:r w:rsidDel="00000000" w:rsidR="00000000" w:rsidRPr="00000000">
        <w:rPr>
          <w:rFonts w:ascii="Times New Roman" w:cs="Times New Roman" w:eastAsia="Times New Roman" w:hAnsi="Times New Roman"/>
          <w:sz w:val="24"/>
          <w:szCs w:val="24"/>
          <w:rtl w:val="0"/>
        </w:rPr>
        <w:t xml:space="preserve">. Selain itu, struma juga dapat ditemukan secara insidental pada pemeriksaan rutin atau pencitraan untuk indikasi lain</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Variasi presentasi klinis ini mencerminkan kompleksitas proses yang mendasari terjadinya pembesaran kelenjar tiroid, serta menegaskan pentingnya evaluasi yang sistematis dan menyeluruh</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 samping implikasi klinis, struma memiliki dampak psikososial yang tidak dapat diabaikan</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 Pembesaran pada daerah leher sering kali memengaruhi persepsi diri dan interaksi sosial pasien, terutama pada kondisi yang tampak jelas secara visual</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Kekhawatiran terhadap kemungkinan penyakit serius, termasuk keganasan tiroid, juga dapat menimbulkan beban psikologis tersendiri. Oleh karena itu, penatalaksanaan struma idealnya tidak hanya berorientasi pada aspek biologis dan klinis, tetapi juga mempertimbangkan kualitas hidup dan kesejahteraan psikologis pasien</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Berdasarkan kompleksitas tersebut, pemahaman yang komprehensif mengenai struma menjadi penting bagi tenaga kesehatan</w:t>
      </w:r>
      <w:r w:rsidDel="00000000" w:rsidR="00000000" w:rsidRPr="00000000">
        <w:rPr>
          <w:rFonts w:ascii="Times New Roman" w:cs="Times New Roman" w:eastAsia="Times New Roman" w:hAnsi="Times New Roman"/>
          <w:sz w:val="24"/>
          <w:szCs w:val="24"/>
          <w:vertAlign w:val="superscript"/>
          <w:rtl w:val="0"/>
        </w:rPr>
        <w:t xml:space="preserve">6,10</w:t>
      </w:r>
      <w:r w:rsidDel="00000000" w:rsidR="00000000" w:rsidRPr="00000000">
        <w:rPr>
          <w:rFonts w:ascii="Times New Roman" w:cs="Times New Roman" w:eastAsia="Times New Roman" w:hAnsi="Times New Roman"/>
          <w:sz w:val="24"/>
          <w:szCs w:val="24"/>
          <w:rtl w:val="0"/>
        </w:rPr>
        <w:t xml:space="preserve">. Pemahaman ini mencakup mekanisme terjadinya pembesaran kelenjar tiroid, variasi gambaran klinis, pendekatan diagnostik yang tepat, serta prinsip penatalaksanaan yang rasional dan berbasis bukti</w:t>
      </w:r>
      <w:r w:rsidDel="00000000" w:rsidR="00000000" w:rsidRPr="00000000">
        <w:rPr>
          <w:rFonts w:ascii="Times New Roman" w:cs="Times New Roman" w:eastAsia="Times New Roman" w:hAnsi="Times New Roman"/>
          <w:sz w:val="24"/>
          <w:szCs w:val="24"/>
          <w:vertAlign w:val="superscript"/>
          <w:rtl w:val="0"/>
        </w:rPr>
        <w:t xml:space="preserve">4,7,9</w:t>
      </w:r>
      <w:r w:rsidDel="00000000" w:rsidR="00000000" w:rsidRPr="00000000">
        <w:rPr>
          <w:rFonts w:ascii="Times New Roman" w:cs="Times New Roman" w:eastAsia="Times New Roman" w:hAnsi="Times New Roman"/>
          <w:sz w:val="24"/>
          <w:szCs w:val="24"/>
          <w:rtl w:val="0"/>
        </w:rPr>
        <w:t xml:space="preserve">. Artikel ini disusun sebagai tinjauan konseptual dan klinis berbasis literatur untuk menyajikan kerangka pemikiran yang sistematis mengenai struma, sehingga dapat mendukung pengambilan keputusan klinis yang tepat dalam praktik kedokteran.</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Metode</w:t>
      </w:r>
      <w:r w:rsidDel="00000000" w:rsidR="00000000" w:rsidRPr="00000000">
        <w:rPr>
          <w:rFonts w:ascii="Times New Roman" w:cs="Times New Roman" w:eastAsia="Times New Roman" w:hAnsi="Times New Roman"/>
          <w:sz w:val="24"/>
          <w:szCs w:val="24"/>
          <w:rtl w:val="0"/>
        </w:rPr>
        <w:br w:type="textWrapping"/>
        <w:t xml:space="preserve">Penulisan artikel ini menggunakan metode studi literatur (</w:t>
      </w:r>
      <w:r w:rsidDel="00000000" w:rsidR="00000000" w:rsidRPr="00000000">
        <w:rPr>
          <w:rFonts w:ascii="Times New Roman" w:cs="Times New Roman" w:eastAsia="Times New Roman" w:hAnsi="Times New Roman"/>
          <w:i w:val="1"/>
          <w:iCs w:val="1"/>
          <w:sz w:val="24"/>
          <w:szCs w:val="24"/>
          <w:rtl w:val="0"/>
        </w:rPr>
        <w:t xml:space="preserve">literature review</w:t>
      </w:r>
      <w:r w:rsidDel="00000000" w:rsidR="00000000" w:rsidRPr="00000000">
        <w:rPr>
          <w:rFonts w:ascii="Times New Roman" w:cs="Times New Roman" w:eastAsia="Times New Roman" w:hAnsi="Times New Roman"/>
          <w:sz w:val="24"/>
          <w:szCs w:val="24"/>
          <w:rtl w:val="0"/>
        </w:rPr>
        <w:t xml:space="preserve">). Sumber pustaka diperoleh dari buku ajar kedokteran, pedoman praktik klinis, serta artikel ilmiah nasional dan internasional yang membahas struma dan gangguan kelenjar tiroid. Literatur dipilih berdasarkan relevansi topik, kredibilitas sumber, dan kebaruan informasi. Data yang diperoleh dianalisis secara naratif dan disintesis untuk menyajikan pembahasan konseptual dan klinis yang terintegrasi.</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Pembahasan</w:t>
      </w:r>
      <w:r w:rsidDel="00000000" w:rsidR="00000000" w:rsidRPr="00000000">
        <w:rPr>
          <w:rFonts w:ascii="Times New Roman" w:cs="Times New Roman" w:eastAsia="Times New Roman" w:hAnsi="Times New Roman"/>
          <w:sz w:val="24"/>
          <w:szCs w:val="24"/>
          <w:rtl w:val="0"/>
        </w:rPr>
        <w:br w:type="textWrapping"/>
        <w:t xml:space="preserve">Pembesaran kelenjar tiroid merupakan manifestasi klinis yang mencerminkan respons jaringan tiroid terhadap berbagai rangsangan internal maupun eksternal</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 Secara fisiologis, kelenjar tiroid memiliki kemampuan adaptif yang tinggi terhadap perubahan kebutuhan hormon tubuh</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Ketika terjadi gangguan pada proses sintesis hormon atau peningkatan kebutuhan metabolik, stimulasi oleh thyroid-stimulating hormone (TSH) dapat meningkat dan memicu perubahan struktural berupa hipertrofi dan hiperplasia sel folikel</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sz w:val="24"/>
          <w:szCs w:val="24"/>
          <w:rtl w:val="0"/>
        </w:rPr>
        <w:t xml:space="preserve">. Mekanisme adaptif ini, apabila berlangsung kronis, menjadi dasar terjadinya struma difus</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Dalam konteks ini, struma tidak selalu merepresentasikan suatu penyakit tersendiri, melainkan sering kali merupakan ekspresi akhir dari proses patofisiologis yang lebih kompleks</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Perkembangan struma juga dipengaruhi oleh heterogenitas respons jaringan tiroid. Pada sebagian individu, respons proliferatif terjadi secara merata, sementara pada kondisi lain pertumbuhan jaringan berlangsung secara fokal sehingga membentuk nodul</w:t>
      </w:r>
      <w:r w:rsidDel="00000000" w:rsidR="00000000" w:rsidRPr="00000000">
        <w:rPr>
          <w:rFonts w:ascii="Times New Roman" w:cs="Times New Roman" w:eastAsia="Times New Roman" w:hAnsi="Times New Roman"/>
          <w:sz w:val="24"/>
          <w:szCs w:val="24"/>
          <w:vertAlign w:val="superscript"/>
          <w:rtl w:val="0"/>
        </w:rPr>
        <w:t xml:space="preserve">5,8</w:t>
      </w:r>
      <w:r w:rsidDel="00000000" w:rsidR="00000000" w:rsidRPr="00000000">
        <w:rPr>
          <w:rFonts w:ascii="Times New Roman" w:cs="Times New Roman" w:eastAsia="Times New Roman" w:hAnsi="Times New Roman"/>
          <w:sz w:val="24"/>
          <w:szCs w:val="24"/>
          <w:rtl w:val="0"/>
        </w:rPr>
        <w:t xml:space="preserve">. Fenomena ini menjelaskan terbentuknya struma nodular dengan karakteristik klinis yang berbeda dibandingkan struma difus</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Variasi morfologis tersebut memiliki implikasi penting dalam penilaian klinis, karena pola pertumbuhan yang tidak homogen dapat menimbulkan kekhawatiran terhadap kemungkinan kelainan yang lebih serius, termasuk keganasan tiroid</w:t>
      </w:r>
      <w:r w:rsidDel="00000000" w:rsidR="00000000" w:rsidRPr="00000000">
        <w:rPr>
          <w:rFonts w:ascii="Times New Roman" w:cs="Times New Roman" w:eastAsia="Times New Roman" w:hAnsi="Times New Roman"/>
          <w:sz w:val="24"/>
          <w:szCs w:val="24"/>
          <w:vertAlign w:val="superscript"/>
          <w:rtl w:val="0"/>
        </w:rPr>
        <w:t xml:space="preserve">11,12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keberadaan struma tidak selalu berkorelasi langsung dengan status fungsi tiroid</w:t>
      </w:r>
      <w:r w:rsidDel="00000000" w:rsidR="00000000" w:rsidRPr="00000000">
        <w:rPr>
          <w:rFonts w:ascii="Times New Roman" w:cs="Times New Roman" w:eastAsia="Times New Roman" w:hAnsi="Times New Roman"/>
          <w:sz w:val="24"/>
          <w:szCs w:val="24"/>
          <w:vertAlign w:val="superscript"/>
          <w:rtl w:val="0"/>
        </w:rPr>
        <w:t xml:space="preserve">3,6</w:t>
      </w:r>
      <w:r w:rsidDel="00000000" w:rsidR="00000000" w:rsidRPr="00000000">
        <w:rPr>
          <w:rFonts w:ascii="Times New Roman" w:cs="Times New Roman" w:eastAsia="Times New Roman" w:hAnsi="Times New Roman"/>
          <w:sz w:val="24"/>
          <w:szCs w:val="24"/>
          <w:rtl w:val="0"/>
        </w:rPr>
        <w:t xml:space="preserve">. Pasien dengan struma dapat berada dalam keadaan eutiroid, hipertiroid, maupun hipotiroid, tergantung pada etiologi yang mendasari</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 Kondisi ini menegaskan bahwa evaluasi struma tidak dapat hanya berfokus pada ukuran kelenjar semata, tetapi harus disertai penilaian fungsi hormonal dan dampaknya terhadap sistem tubuh secara keseluruhan</w:t>
      </w:r>
      <w:r w:rsidDel="00000000" w:rsidR="00000000" w:rsidRPr="00000000">
        <w:rPr>
          <w:rFonts w:ascii="Times New Roman" w:cs="Times New Roman" w:eastAsia="Times New Roman" w:hAnsi="Times New Roman"/>
          <w:sz w:val="24"/>
          <w:szCs w:val="24"/>
          <w:vertAlign w:val="superscript"/>
          <w:rtl w:val="0"/>
        </w:rPr>
        <w:t xml:space="preserve">2,6,10</w:t>
      </w:r>
      <w:r w:rsidDel="00000000" w:rsidR="00000000" w:rsidRPr="00000000">
        <w:rPr>
          <w:rFonts w:ascii="Times New Roman" w:cs="Times New Roman" w:eastAsia="Times New Roman" w:hAnsi="Times New Roman"/>
          <w:sz w:val="24"/>
          <w:szCs w:val="24"/>
          <w:rtl w:val="0"/>
        </w:rPr>
        <w:t xml:space="preserve">. Pemeriksaan fisik leher yang teliti tetap menjadi fondasi utama, dengan penilaian ukuran, konsistensi, mobilitas, dan hubungan kelenjar dengan struktur sekitarnya</w:t>
      </w:r>
      <w:r w:rsidDel="00000000" w:rsidR="00000000" w:rsidRPr="00000000">
        <w:rPr>
          <w:rFonts w:ascii="Times New Roman" w:cs="Times New Roman" w:eastAsia="Times New Roman" w:hAnsi="Times New Roman"/>
          <w:sz w:val="24"/>
          <w:szCs w:val="24"/>
          <w:vertAlign w:val="superscript"/>
          <w:rtl w:val="0"/>
        </w:rPr>
        <w:t xml:space="preserve">7,8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terhadap struma bertujuan untuk mengidentifikasi penyebab dasar, menilai status fungsi tiroid, serta menyingkirkan kemungkinan keganasan</w:t>
      </w:r>
      <w:r w:rsidDel="00000000" w:rsidR="00000000" w:rsidRPr="00000000">
        <w:rPr>
          <w:rFonts w:ascii="Times New Roman" w:cs="Times New Roman" w:eastAsia="Times New Roman" w:hAnsi="Times New Roman"/>
          <w:sz w:val="24"/>
          <w:szCs w:val="24"/>
          <w:vertAlign w:val="superscript"/>
          <w:rtl w:val="0"/>
        </w:rPr>
        <w:t xml:space="preserve">9,11</w:t>
      </w:r>
      <w:r w:rsidDel="00000000" w:rsidR="00000000" w:rsidRPr="00000000">
        <w:rPr>
          <w:rFonts w:ascii="Times New Roman" w:cs="Times New Roman" w:eastAsia="Times New Roman" w:hAnsi="Times New Roman"/>
          <w:sz w:val="24"/>
          <w:szCs w:val="24"/>
          <w:rtl w:val="0"/>
        </w:rPr>
        <w:t xml:space="preserve">. Pemeriksaan laboratorium berperan dalam memberikan gambaran fungsi hormonal, sedangkan modalitas pencitraan, khususnya ultrasonografi tiroid, memungkinkan evaluasi morfologi kelenjar secara lebih rinci</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Ultrasonografi memiliki keunggulan dalam mendeteksi nodul kecil, membedakan komponen solid dan kistik, serta menilai karakteristik yang dapat mengarahkan kecurigaan klinis. Dengan demikian, kombinasi antara evaluasi klinis dan pemeriksaan penunjang menjadi kunci dalam penegakan diagnosis yang akurat</w:t>
      </w:r>
      <w:r w:rsidDel="00000000" w:rsidR="00000000" w:rsidRPr="00000000">
        <w:rPr>
          <w:rFonts w:ascii="Times New Roman" w:cs="Times New Roman" w:eastAsia="Times New Roman" w:hAnsi="Times New Roman"/>
          <w:sz w:val="24"/>
          <w:szCs w:val="24"/>
          <w:vertAlign w:val="superscript"/>
          <w:rtl w:val="0"/>
        </w:rPr>
        <w:t xml:space="preserve">9,11,12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konteks penatalaksanaan, struma memerlukan pendekatan yang bersifat individual dan berorientasi pada pasien</w:t>
      </w:r>
      <w:r w:rsidDel="00000000" w:rsidR="00000000" w:rsidRPr="00000000">
        <w:rPr>
          <w:rFonts w:ascii="Times New Roman" w:cs="Times New Roman" w:eastAsia="Times New Roman" w:hAnsi="Times New Roman"/>
          <w:sz w:val="24"/>
          <w:szCs w:val="24"/>
          <w:vertAlign w:val="superscript"/>
          <w:rtl w:val="0"/>
        </w:rPr>
        <w:t xml:space="preserve">4,7</w:t>
      </w:r>
      <w:r w:rsidDel="00000000" w:rsidR="00000000" w:rsidRPr="00000000">
        <w:rPr>
          <w:rFonts w:ascii="Times New Roman" w:cs="Times New Roman" w:eastAsia="Times New Roman" w:hAnsi="Times New Roman"/>
          <w:sz w:val="24"/>
          <w:szCs w:val="24"/>
          <w:rtl w:val="0"/>
        </w:rPr>
        <w:t xml:space="preserve">. Tidak semua struma memerlukan intervensi aktif, terutama apabila tidak disertai gangguan fungsi atau keluhan mekanik. Observasi dengan pemantauan berkala dapat menjadi pilihan yang rasional pada kondisi tertentu</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Namun demikian, struma yang menimbulkan gejala kompresi, gangguan fungsi tiroid, atau kecurigaan keganasan memerlukan strategi penanganan yang lebih agresif. Keputusan klinis ini harus didasarkan pada pertimbangan manfaat dan risiko, serta mempertimbangkan kondisi umum dan preferensi pasien</w:t>
      </w:r>
      <w:r w:rsidDel="00000000" w:rsidR="00000000" w:rsidRPr="00000000">
        <w:rPr>
          <w:rFonts w:ascii="Times New Roman" w:cs="Times New Roman" w:eastAsia="Times New Roman" w:hAnsi="Times New Roman"/>
          <w:sz w:val="24"/>
          <w:szCs w:val="24"/>
          <w:vertAlign w:val="superscript"/>
          <w:rtl w:val="0"/>
        </w:rPr>
        <w:t xml:space="preserve">8,11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Terapi medikamentosa memiliki peran terbatas dan sangat bergantung pada etiologi yang mendasari struma</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Pada kondisi tertentu, pengendalian fungsi tiroid dapat membantu mencegah progresivitas pembesaran kelenjar. Sementara itu, tindakan pembedahan tetap menjadi pilihan utama pada struma dengan indikasi yang jelas, seperti gangguan mekanik signifikan atau kecurigaan keganasan</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Prinsip dasar tindakan bedah adalah menghilangkan jaringan tiroid yang patologis sekaligus mempertahankan fungsi yang adekuat bila memungkinkan. Pendekatan ini menuntut perencanaan yang matang serta evaluasi praoperatif yang komprehensif</w:t>
      </w:r>
      <w:r w:rsidDel="00000000" w:rsidR="00000000" w:rsidRPr="00000000">
        <w:rPr>
          <w:rFonts w:ascii="Times New Roman" w:cs="Times New Roman" w:eastAsia="Times New Roman" w:hAnsi="Times New Roman"/>
          <w:sz w:val="24"/>
          <w:szCs w:val="24"/>
          <w:vertAlign w:val="superscript"/>
          <w:rtl w:val="0"/>
        </w:rPr>
        <w:t xml:space="preserve">7,8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Aspek lain yang tidak kalah penting dalam pembahasan struma adalah dampaknya terhadap kualitas hidup pasien</w:t>
      </w:r>
      <w:r w:rsidDel="00000000" w:rsidR="00000000" w:rsidRPr="00000000">
        <w:rPr>
          <w:rFonts w:ascii="Times New Roman" w:cs="Times New Roman" w:eastAsia="Times New Roman" w:hAnsi="Times New Roman"/>
          <w:sz w:val="24"/>
          <w:szCs w:val="24"/>
          <w:vertAlign w:val="superscript"/>
          <w:rtl w:val="0"/>
        </w:rPr>
        <w:t xml:space="preserve">11,12</w:t>
      </w:r>
      <w:r w:rsidDel="00000000" w:rsidR="00000000" w:rsidRPr="00000000">
        <w:rPr>
          <w:rFonts w:ascii="Times New Roman" w:cs="Times New Roman" w:eastAsia="Times New Roman" w:hAnsi="Times New Roman"/>
          <w:sz w:val="24"/>
          <w:szCs w:val="24"/>
          <w:rtl w:val="0"/>
        </w:rPr>
        <w:t xml:space="preserve">. Pembesaran pada daerah leher sering kali menimbulkan masalah estetika dan psikologis yang bermakna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Kekhawatiran terhadap penampilan fisik maupun kemungkinan penyakit serius dapat memengaruhi kesejahteraan mental pasien. Oleh karena itu, komunikasi yang jelas dan empatik menjadi bagian integral dari proses penatalaksanaan</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Edukasi yang adekuat mengenai kondisi yang dialami, pilihan terapi, serta prognosis dapat membantu meningkatkan pemahaman dan keterlibatan pasien dalam pengambilan keputusan klinis</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perspektif praktik klinis yang lebih luas, struma mencerminkan pentingnya pendekatan yang holistik dan berbasis bukti</w:t>
      </w:r>
      <w:r w:rsidDel="00000000" w:rsidR="00000000" w:rsidRPr="00000000">
        <w:rPr>
          <w:rFonts w:ascii="Times New Roman" w:cs="Times New Roman" w:eastAsia="Times New Roman" w:hAnsi="Times New Roman"/>
          <w:sz w:val="24"/>
          <w:szCs w:val="24"/>
          <w:vertAlign w:val="superscript"/>
          <w:rtl w:val="0"/>
        </w:rPr>
        <w:t xml:space="preserve">1,6</w:t>
      </w:r>
      <w:r w:rsidDel="00000000" w:rsidR="00000000" w:rsidRPr="00000000">
        <w:rPr>
          <w:rFonts w:ascii="Times New Roman" w:cs="Times New Roman" w:eastAsia="Times New Roman" w:hAnsi="Times New Roman"/>
          <w:sz w:val="24"/>
          <w:szCs w:val="24"/>
          <w:rtl w:val="0"/>
        </w:rPr>
        <w:t xml:space="preserve">. Pemahaman yang mendalam mengenai mekanisme patofisiologi, variasi klinis, serta prinsip diagnostik dan terapeutik memungkinkan tenaga kesehatan untuk memberikan penatalaksanaan yang lebih rasional dan terarah. Dengan mengintegrasikan aspek biologis, klinis, dan psikososial, diharapkan penanganan struma dapat menghasilkan luaran klinis yang optimal serta meningkatkan kualitas hidup pasien secara berkelanjutan</w:t>
      </w:r>
      <w:r w:rsidDel="00000000" w:rsidR="00000000" w:rsidRPr="00000000">
        <w:rPr>
          <w:rFonts w:ascii="Times New Roman" w:cs="Times New Roman" w:eastAsia="Times New Roman" w:hAnsi="Times New Roman"/>
          <w:sz w:val="24"/>
          <w:szCs w:val="24"/>
          <w:vertAlign w:val="superscript"/>
          <w:rtl w:val="0"/>
        </w:rPr>
        <w:t xml:space="preserve">4,7,9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r>
      <w:r w:rsidDel="00000000" w:rsidR="00000000" w:rsidRPr="00000000">
        <w:rPr>
          <w:rFonts w:ascii="Times New Roman" w:cs="Times New Roman" w:eastAsia="Times New Roman" w:hAnsi="Times New Roman"/>
          <w:sz w:val="24"/>
          <w:szCs w:val="24"/>
          <w:rtl w:val="0"/>
        </w:rPr>
        <w:br w:type="textWrapping"/>
        <w:t xml:space="preserve">Struma merupakan kondisi klinis yang mencerminkan berbagai proses patologis pada kelenjar tiroid dan memerlukan pendekatan diagnostik serta penatalaksanaan yang komprehensif. Pemahaman yang baik mengenai mekanisme terjadinya struma, variasi gambaran klinis, serta prinsip evaluasi dan terapi sangat penting dalam praktik kedokteran. Melalui pendekatan berbasis kajian literatur dan pemikiran klinis yang sistematis, diharapkan tenaga kesehatan dapat melakukan penilaian yang tepat dan memberikan penatalaksanaan yang optimal guna meningkatkan luaran klinis dan kualitas hidup pasien.</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6">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Kariadi K.S., Hartini S., dan Sumual A. (2014). Struma Nodusa Non Toksik dan Hipertiroidisme. Buku ajar ilmu penyakit dalam, Edisi ke-6. Jakarta: Interna Publishing; h.757-778.</w:t>
      </w:r>
    </w:p>
    <w:p w:rsidR="00000000" w:rsidDel="00000000" w:rsidP="00000000" w:rsidRDefault="00000000" w:rsidRPr="00000000" w14:paraId="0000001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Arthur C. Guyton, J. E. H. (2020) Guyton and hall textbook of medical physiology thirteenth edition, Elsevier.</w:t>
      </w:r>
    </w:p>
    <w:p w:rsidR="00000000" w:rsidDel="00000000" w:rsidP="00000000" w:rsidRDefault="00000000" w:rsidRPr="00000000" w14:paraId="0000001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PERABOI. (2020). Panduan Penatalaksanaan Kanker Peraboi 2020. Edisi II. Edited by I. W., Djoko Handojo, Samel J.HAryono and W. G. S. T. Panigoro, Sonar Soni Panigoro, Kunta. Setiaji, Eddy H. Tanggo, Wirsma Arif Harahap, Maman Abdurahman. Jakarta: PERABOI (Perhimpunan Ahli Bedah Onkologi Indonesia)</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Ahmet, S., and Anis, R. (2023). Goiter. Tersedia di: </w:t>
      </w:r>
      <w:hyperlink r:id="rId6">
        <w:r w:rsidDel="00000000" w:rsidR="00000000" w:rsidRPr="00000000">
          <w:rPr>
            <w:rFonts w:ascii="Times New Roman" w:cs="Times New Roman" w:eastAsia="Times New Roman" w:hAnsi="Times New Roman"/>
            <w:color w:val="1155cc"/>
            <w:sz w:val="24"/>
            <w:szCs w:val="24"/>
            <w:u w:val="single"/>
            <w:rtl w:val="0"/>
          </w:rPr>
          <w:t xml:space="preserve">https://www.ncbi.nlm.nih.gov/books/NBK562161/</w:t>
        </w:r>
      </w:hyperlink>
      <w:r w:rsidDel="00000000" w:rsidR="00000000" w:rsidRPr="00000000">
        <w:rPr>
          <w:rtl w:val="0"/>
        </w:rPr>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Drake R.L., Vogl A.W., and Mitchell A.W.M. (2015). Gray’s Anatomy. 3rd Ed., Churchill Livingstone Elsevier, Philadelphia.</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 M., and Gurdeep, S. (2023). Thyroiditis. Tersedia di: </w:t>
      </w:r>
      <w:hyperlink r:id="rId7">
        <w:r w:rsidDel="00000000" w:rsidR="00000000" w:rsidRPr="00000000">
          <w:rPr>
            <w:rFonts w:ascii="Times New Roman" w:cs="Times New Roman" w:eastAsia="Times New Roman" w:hAnsi="Times New Roman"/>
            <w:color w:val="1155cc"/>
            <w:sz w:val="24"/>
            <w:szCs w:val="24"/>
            <w:u w:val="single"/>
            <w:rtl w:val="0"/>
          </w:rPr>
          <w:t xml:space="preserve">https://www.ncbi.nlm.nih.gov/books/NBK555975/</w:t>
        </w:r>
      </w:hyperlink>
      <w:r w:rsidDel="00000000" w:rsidR="00000000" w:rsidRPr="00000000">
        <w:rPr>
          <w:rtl w:val="0"/>
        </w:rPr>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Esfandiari N.H., and McPhee S.J. (2019). Thyroid Disease. Pathophysiology of Disease: An Introduction to Clinical Medicine, 8e. McGraw-Hill Education.</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Sjamsuhidajat R, De Jong W. (2017). Buku Ajar Ilmu Bedah Sjamsuhidajat-De Jong: Sistem Organ dan Tindak Bedahnya Edisi 4, Volume 3. Penerbit Buku Kedokteran EGC: Jakarta.</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Amin Huda, H. K. (2016). Asuhan Keperawatan Praktis Edisi Revisi Jilid 1. Jogjakarta: Mediaction.</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Meghana, K., and Savita, L. (2024). Thyroid Lymphoma. Tersedia di: </w:t>
      </w:r>
      <w:hyperlink r:id="rId8">
        <w:r w:rsidDel="00000000" w:rsidR="00000000" w:rsidRPr="00000000">
          <w:rPr>
            <w:rFonts w:ascii="Times New Roman" w:cs="Times New Roman" w:eastAsia="Times New Roman" w:hAnsi="Times New Roman"/>
            <w:color w:val="1155cc"/>
            <w:sz w:val="24"/>
            <w:szCs w:val="24"/>
            <w:u w:val="single"/>
            <w:rtl w:val="0"/>
          </w:rPr>
          <w:t xml:space="preserve">https://www.ncbi.nlm.nih.gov/books/NBK544282/</w:t>
        </w:r>
      </w:hyperlink>
      <w:r w:rsidDel="00000000" w:rsidR="00000000" w:rsidRPr="00000000">
        <w:rPr>
          <w:rtl w:val="0"/>
        </w:rPr>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Jameson J., Mandel S., and Weetman P. (2022). Thyroid Nodular Disease and Thyroid</w:t>
        <w:br w:type="textWrapping"/>
        <w:t xml:space="preserve">Cancer. Harrison’s Principles of Internal Medicine, 21e. McGraw-Hill Education.</w:t>
      </w:r>
    </w:p>
    <w:p w:rsidR="00000000" w:rsidDel="00000000" w:rsidP="00000000" w:rsidRDefault="00000000" w:rsidRPr="00000000" w14:paraId="00000021">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Fadi, M., and Bhupendra, P. (2023). Nontoxic Goiter. Tersedia di: </w:t>
      </w:r>
      <w:hyperlink r:id="rId9">
        <w:r w:rsidDel="00000000" w:rsidR="00000000" w:rsidRPr="00000000">
          <w:rPr>
            <w:rFonts w:ascii="Times New Roman" w:cs="Times New Roman" w:eastAsia="Times New Roman" w:hAnsi="Times New Roman"/>
            <w:color w:val="1155cc"/>
            <w:sz w:val="24"/>
            <w:szCs w:val="24"/>
            <w:u w:val="single"/>
            <w:rtl w:val="0"/>
          </w:rPr>
          <w:t xml:space="preserve">https://www.ncbi.nlm.nih.gov/books/NBK482274/</w:t>
        </w:r>
      </w:hyperlink>
      <w:r w:rsidDel="00000000" w:rsidR="00000000" w:rsidRPr="00000000">
        <w:br w:type="page"/>
      </w:r>
      <w:r w:rsidDel="00000000" w:rsidR="00000000" w:rsidRPr="00000000">
        <w:rPr>
          <w:rtl w:val="0"/>
        </w:rPr>
      </w:r>
    </w:p>
    <w:p w:rsidR="00000000" w:rsidDel="00000000" w:rsidP="00000000" w:rsidRDefault="00000000" w:rsidRPr="00000000" w14:paraId="0000002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1905000"/>
            <wp:effectExtent b="0" l="0" r="0" t="0"/>
            <wp:docPr id="2"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7312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02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1282700"/>
            <wp:effectExtent b="0" l="0" r="0" t="0"/>
            <wp:docPr id="1"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731200" cy="1282700"/>
                    </a:xfrm>
                    <a:prstGeom prst="rect"/>
                    <a:ln/>
                  </pic:spPr>
                </pic:pic>
              </a:graphicData>
            </a:graphic>
          </wp:inline>
        </w:drawing>
      </w: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1.png"/><Relationship Id="rId10" Type="http://schemas.openxmlformats.org/officeDocument/2006/relationships/image" Target="media/image2.png"/><Relationship Id="rId9" Type="http://schemas.openxmlformats.org/officeDocument/2006/relationships/hyperlink" Target="https://www.ncbi.nlm.nih.gov/books/NBK482274/" TargetMode="External"/><Relationship Id="rId5" Type="http://schemas.openxmlformats.org/officeDocument/2006/relationships/styles" Target="styles.xml"/><Relationship Id="rId6" Type="http://schemas.openxmlformats.org/officeDocument/2006/relationships/hyperlink" Target="https://www.ncbi.nlm.nih.gov/books/NBK562161/" TargetMode="External"/><Relationship Id="rId7" Type="http://schemas.openxmlformats.org/officeDocument/2006/relationships/hyperlink" Target="https://www.ncbi.nlm.nih.gov/books/NBK555975/" TargetMode="External"/><Relationship Id="rId8" Type="http://schemas.openxmlformats.org/officeDocument/2006/relationships/hyperlink" Target="https://www.ncbi.nlm.nih.gov/books/NBK54428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