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Tinjauan Klinis dan Prinsip Penatalaksanaan Hidrokel dalam Praktik Bedah</w:t>
      </w:r>
    </w:p>
    <w:p w:rsidR="00000000" w:rsidDel="00000000" w:rsidP="00000000" w:rsidRDefault="00000000" w:rsidRPr="00000000" w14:paraId="00000002">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Ihyan Amri</w:t>
      </w:r>
    </w:p>
    <w:p w:rsidR="00000000" w:rsidDel="00000000" w:rsidP="00000000" w:rsidRDefault="00000000" w:rsidRPr="00000000" w14:paraId="00000003">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Abstrak</w:t>
        <w:br w:type="textWrapping"/>
      </w:r>
      <w:r w:rsidDel="00000000" w:rsidR="00000000" w:rsidRPr="00000000">
        <w:rPr>
          <w:rFonts w:ascii="Times New Roman" w:cs="Times New Roman" w:eastAsia="Times New Roman" w:hAnsi="Times New Roman"/>
          <w:sz w:val="24"/>
          <w:szCs w:val="24"/>
          <w:rtl w:val="0"/>
        </w:rPr>
        <w:t xml:space="preserve">Hidrokel merupakan kelainan pada skrotum yang ditandai oleh akumulasi cairan serosa di dalam tunika vaginalis testis atau sepanjang kanalis inguinalis. Kondisi ini dapat ditemukan pada berbagai kelompok usia dan umumnya bersifat jinak, namun pada keadaan tertentu dapat menimbulkan keluhan fungsional, ketidaknyamanan, serta penurunan kualitas hidup. Hidrokel dapat terjadi secara kongenital maupun didapat, dengan mekanisme patofisiologis yang beragam, mulai dari gangguan keseimbangan produksi dan absorpsi cairan hingga keterlibatan proses inflamasi atau obstruksi aliran limfe. Artikel ini bertujuan membahas hidrokel secara komprehensif dari sudut pandang konseptual dan klinis, dengan penekanan pada mekanisme patofisiologi, gambaran klinis, pendekatan diagnosis, serta prinsip penatalaksanaan dalam praktik bedah. Penulisan artikel menggunakan metode studi literatur terhadap buku ajar kedokteran, pedoman praktik klinis, serta artikel ilmiah nasional dan internasional yang relevan. Pembahasan difokuskan pada integrasi aspek anatomi dan fisiologi skrotum, proses terjadinya hidrokel, pertimbangan diagnostik, serta pilihan terapi konservatif dan operatif. Pemahaman yang baik mengenai hidrokel diharapkan dapat membantu tenaga kesehatan melakukan evaluasi dan penatalaksanaan yang tepat guna meminimalkan keluhan pasien serta mencegah komplikasi.</w:t>
      </w:r>
    </w:p>
    <w:p w:rsidR="00000000" w:rsidDel="00000000" w:rsidP="00000000" w:rsidRDefault="00000000" w:rsidRPr="00000000" w14:paraId="00000005">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Kata kunci: hidrokel, skrotum, tunika vaginalis, bedah urologi, tinjauan pustaka</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Pendahuluan</w:t>
        <w:br w:type="textWrapping"/>
      </w:r>
      <w:r w:rsidDel="00000000" w:rsidR="00000000" w:rsidRPr="00000000">
        <w:rPr>
          <w:rFonts w:ascii="Times New Roman" w:cs="Times New Roman" w:eastAsia="Times New Roman" w:hAnsi="Times New Roman"/>
          <w:sz w:val="24"/>
          <w:szCs w:val="24"/>
          <w:rtl w:val="0"/>
        </w:rPr>
        <w:t xml:space="preserve">Hidrokel merupakan salah satu kelainan skrotum yang sering dijumpai dalam praktik bedah dan urologi</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Kondisi ini ditandai oleh pembesaran skrotum akibat penumpukan cairan serosa, yang pada umumnya berkembang perlahan dan bersifat jinak</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Meskipun jarang menimbulkan kondisi yang mengancam jiwa, hidrokel memiliki signifikansi klinis karena dapat menyebabkan rasa tidak nyaman, gangguan aktivitas, serta kekhawatiran pasien terhadap kemungkinan kelainan lain pada organ genitalia</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Hidrokel dapat dijumpai pada berbagai kelompok usia dengan karakteristik klinis yang berbeda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Pada usia anak, hidrokel sering berkaitan dengan gangguan proses obliterasi prosesus vaginalis</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sedangkan pada usia dewasa lebih sering berhubungan dengan ketidakseimbangan produksi dan absorpsi cairan, trauma, atau proses inflamasi lokal</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Perbedaan mekanisme tersebut berimplikasi pada pendekatan diagnostik dan terapeutik yang perlu disesuaikan dengan kondisi klinis masing-masing pasien</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Pembesaran skrotum merupakan keluhan yang tidak spesifik dan dapat ditemukan pada berbagai kondisi patologis, termasuk hernia inguinalis, varikokel, maupun massa testis</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Oleh karena itu, evaluasi hidrokel memerlukan pemahaman yang baik mengenai anatomi, fisiologi, serta gambaran klinis khas untuk membedakannya dari diagnosis banding lain yang lebih serius</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Artikel ini bertujuan menyajikan tinjauan hidrokel secara sistematis dan ilmiah melalui pendekatan literatur</w:t>
      </w:r>
      <w:r w:rsidDel="00000000" w:rsidR="00000000" w:rsidRPr="00000000">
        <w:rPr>
          <w:rFonts w:ascii="Times New Roman" w:cs="Times New Roman" w:eastAsia="Times New Roman" w:hAnsi="Times New Roman"/>
          <w:b w:val="1"/>
          <w:bCs w:val="1"/>
          <w:sz w:val="24"/>
          <w:szCs w:val="24"/>
          <w:vertAlign w:val="superscript"/>
          <w:rtl w:val="0"/>
        </w:rPr>
        <w:t xml:space="preserve">10</w:t>
      </w:r>
      <w:r w:rsidDel="00000000" w:rsidR="00000000" w:rsidRPr="00000000">
        <w:rPr>
          <w:rFonts w:ascii="Times New Roman" w:cs="Times New Roman" w:eastAsia="Times New Roman" w:hAnsi="Times New Roman"/>
          <w:b w:val="1"/>
          <w:bCs w:val="1"/>
          <w:sz w:val="24"/>
          <w:szCs w:val="24"/>
          <w:rtl w:val="0"/>
        </w:rPr>
        <w:t xml:space="preserve">.</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Metode</w:t>
        <w:br w:type="textWrapping"/>
      </w:r>
      <w:r w:rsidDel="00000000" w:rsidR="00000000" w:rsidRPr="00000000">
        <w:rPr>
          <w:rFonts w:ascii="Times New Roman" w:cs="Times New Roman" w:eastAsia="Times New Roman" w:hAnsi="Times New Roman"/>
          <w:sz w:val="24"/>
          <w:szCs w:val="24"/>
          <w:rtl w:val="0"/>
        </w:rPr>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ajar kedokteran, pedoman praktik klinis, serta artikel ilmiah nasional dan internasional yang membahas hidrokel dan kelainan skrotum terkait. Literatur dipilih berdasarkan relevansi topik, kredibilitas sumber, dan kebaruan informasi. Data yang diperoleh dianalisis secara naratif dan disintesis untuk menyajikan pembahasan konseptual dan klinis yang terintegrasi.</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Pembahasan</w:t>
        <w:br w:type="textWrapping"/>
      </w:r>
      <w:r w:rsidDel="00000000" w:rsidR="00000000" w:rsidRPr="00000000">
        <w:rPr>
          <w:rFonts w:ascii="Times New Roman" w:cs="Times New Roman" w:eastAsia="Times New Roman" w:hAnsi="Times New Roman"/>
          <w:sz w:val="24"/>
          <w:szCs w:val="24"/>
          <w:rtl w:val="0"/>
        </w:rPr>
        <w:t xml:space="preserve">Hidrokel terjadi akibat akumulasi cairan serosa di dalam tunika vaginalis testis sebagai konsekuensi gangguan keseimbangan antara produksi dan absorpsi cairan</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Dalam kondisi fisiologis, jumlah cairan di ruang ini relatif minimal dan berfungsi sebagai pelumas untuk memfasilitasi pergerakan testis. Ketika mekanisme regulasi tersebut terganggu, cairan akan terakumulasi dan menimbulkan pembesaran skrotum yang khas secara klinis</w:t>
      </w:r>
      <w:r w:rsidDel="00000000" w:rsidR="00000000" w:rsidRPr="00000000">
        <w:rPr>
          <w:rFonts w:ascii="Times New Roman" w:cs="Times New Roman" w:eastAsia="Times New Roman" w:hAnsi="Times New Roman"/>
          <w:sz w:val="24"/>
          <w:szCs w:val="24"/>
          <w:vertAlign w:val="superscript"/>
          <w:rtl w:val="0"/>
        </w:rPr>
        <w:t xml:space="preserve">2,6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hidrokel kongenital, mekanisme utama berkaitan dengan kegagalan penutupan prosesus vaginalis, sehingga memungkinkan komunikasi antara rongga peritoneum dan skrotum</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Kondisi ini menyebabkan cairan peritoneal mengalir ke dalam tunika vaginalis. Sebaliknya, pada hidrokel yang didapat, proses inflamasi, trauma, atau gangguan aliran limfatik diduga berperan dalam meningkatkan produksi cairan atau menghambat proses absorpsi</w:t>
      </w:r>
      <w:r w:rsidDel="00000000" w:rsidR="00000000" w:rsidRPr="00000000">
        <w:rPr>
          <w:rFonts w:ascii="Times New Roman" w:cs="Times New Roman" w:eastAsia="Times New Roman" w:hAnsi="Times New Roman"/>
          <w:sz w:val="24"/>
          <w:szCs w:val="24"/>
          <w:vertAlign w:val="superscript"/>
          <w:rtl w:val="0"/>
        </w:rPr>
        <w:t xml:space="preserve">6,11</w:t>
      </w:r>
      <w:r w:rsidDel="00000000" w:rsidR="00000000" w:rsidRPr="00000000">
        <w:rPr>
          <w:rFonts w:ascii="Times New Roman" w:cs="Times New Roman" w:eastAsia="Times New Roman" w:hAnsi="Times New Roman"/>
          <w:sz w:val="24"/>
          <w:szCs w:val="24"/>
          <w:rtl w:val="0"/>
        </w:rPr>
        <w:t xml:space="preserve">. Mekanisme tersebut menjelaskan mengapa hidrokel pada usia dewasa sering muncul secara perlahan dan progresif</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hidrokel umumnya bermanifestasi sebagai pembesaran skrotum yang tidak nyeri dan berlangsung kronis</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Pasien sering mengeluhkan rasa berat atau penuh pada skrotum, terutama saat berdiri lama atau beraktivitas. Pada pemeriksaan fisik, skrotum tampak membesar, konsistensinya kenyal hingga tegang, dan umumnya tidak disertai nyeri tekan</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Uji transluminasi sering memberikan hasil positif karena sifat cairan yang jernih, sehingga cahaya dapat menembus massa skrotum</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Evaluasi klinis hidrokel perlu dilakukan secara sistematis untuk memastikan diagnosis dan menyingkirkan kemungkinan kelainan lain</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Palpasi testis penting dilakukan untuk menilai apakah testis masih dapat diraba dengan jelas dan untuk memastikan tidak terdapat massa intratestikular</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Pada kondisi tertentu, terutama bila gambaran klinis tidak khas atau terdapat kecurigaan kelainan lain, pemeriksaan ultrasonografi skrotum dapat digunakan untuk memperkuat diagnosis dan menilai struktur intraskrotal secara lebih rinci</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penatalaksanaan hidrokel bergantung pada usia pasien, derajat keluhan, ukuran hidrokel, serta adanya kondisi penyerta</w:t>
      </w:r>
      <w:r w:rsidDel="00000000" w:rsidR="00000000" w:rsidRPr="00000000">
        <w:rPr>
          <w:rFonts w:ascii="Times New Roman" w:cs="Times New Roman" w:eastAsia="Times New Roman" w:hAnsi="Times New Roman"/>
          <w:sz w:val="24"/>
          <w:szCs w:val="24"/>
          <w:vertAlign w:val="superscript"/>
          <w:rtl w:val="0"/>
        </w:rPr>
        <w:t xml:space="preserve">7,10</w:t>
      </w:r>
      <w:r w:rsidDel="00000000" w:rsidR="00000000" w:rsidRPr="00000000">
        <w:rPr>
          <w:rFonts w:ascii="Times New Roman" w:cs="Times New Roman" w:eastAsia="Times New Roman" w:hAnsi="Times New Roman"/>
          <w:sz w:val="24"/>
          <w:szCs w:val="24"/>
          <w:rtl w:val="0"/>
        </w:rPr>
        <w:t xml:space="preserve">. Pada hidrokel yang berukuran kecil dan tidak menimbulkan keluhan bermakna, observasi dapat dipertimbangkan sebagai pilihan awal</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Namun, pada hidrokel yang berukuran besar atau menyebabkan gangguan fungsional, intervensi bedah merupakan terapi definitif yang paling sering dipilih</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Tindakan pembedahan pada hidrokel bertujuan mengeluarkan cairan dan mencegah rekurensi dengan mengeliminasi ruang potensial tempat cairan terakumulasi</w:t>
      </w:r>
      <w:r w:rsidDel="00000000" w:rsidR="00000000" w:rsidRPr="00000000">
        <w:rPr>
          <w:rFonts w:ascii="Times New Roman" w:cs="Times New Roman" w:eastAsia="Times New Roman" w:hAnsi="Times New Roman"/>
          <w:sz w:val="24"/>
          <w:szCs w:val="24"/>
          <w:vertAlign w:val="superscript"/>
          <w:rtl w:val="0"/>
        </w:rPr>
        <w:t xml:space="preserve">11,16</w:t>
      </w:r>
      <w:r w:rsidDel="00000000" w:rsidR="00000000" w:rsidRPr="00000000">
        <w:rPr>
          <w:rFonts w:ascii="Times New Roman" w:cs="Times New Roman" w:eastAsia="Times New Roman" w:hAnsi="Times New Roman"/>
          <w:sz w:val="24"/>
          <w:szCs w:val="24"/>
          <w:rtl w:val="0"/>
        </w:rPr>
        <w:t xml:space="preserve">. Berbagai teknik operatif telah dikembangkan dengan prinsip dasar yang serupa, dan pemilihan teknik disesuaikan dengan kondisi klinis serta pertimbangan operator. Aspirasi cairan dapat dilakukan pada situasi tertentu, namun umumnya tidak dianjurkan sebagai terapi jangka panjang karena risiko rekurensi yang tinggi </w:t>
      </w:r>
      <w:r w:rsidDel="00000000" w:rsidR="00000000" w:rsidRPr="00000000">
        <w:rPr>
          <w:rFonts w:ascii="Times New Roman" w:cs="Times New Roman" w:eastAsia="Times New Roman" w:hAnsi="Times New Roman"/>
          <w:sz w:val="24"/>
          <w:szCs w:val="24"/>
          <w:vertAlign w:val="superscript"/>
          <w:rtl w:val="0"/>
        </w:rPr>
        <w:t xml:space="preserve">6,11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umum, prognosis hidrokel baik apabila ditangani dengan pendekatan yang tepat</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Komplikasi pascaoperasi relatif jarang, namun tetap perlu diantisipasi, antara lain infeksi, hematoma, atau rekurensi</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sz w:val="24"/>
          <w:szCs w:val="24"/>
          <w:rtl w:val="0"/>
        </w:rPr>
        <w:t xml:space="preserve">. Edukasi pasien mengenai kondisi penyakit, pilihan terapi, serta kemungkinan luaran merupakan bagian penting dari penatalaksanaan komprehensif</w:t>
      </w:r>
      <w:r w:rsidDel="00000000" w:rsidR="00000000" w:rsidRPr="00000000">
        <w:rPr>
          <w:rFonts w:ascii="Times New Roman" w:cs="Times New Roman" w:eastAsia="Times New Roman" w:hAnsi="Times New Roman"/>
          <w:sz w:val="24"/>
          <w:szCs w:val="24"/>
          <w:vertAlign w:val="superscript"/>
          <w:rtl w:val="0"/>
        </w:rPr>
        <w:t xml:space="preserve">3,10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aspek klinis dasar, hidrokel memiliki implikasi diagnostik yang signifikan dalam praktik klinis sehari-hari</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Pembesaran skrotum sering menimbulkan kekhawatiran terkait kemungkinan kelainan intratestikular, sehingga proses evaluasi tidak hanya berfokus pada penegakan diagnosis, tetapi juga pada upaya menyingkirkan kondisi patologis lain yang lebih serius</w:t>
      </w:r>
      <w:r w:rsidDel="00000000" w:rsidR="00000000" w:rsidRPr="00000000">
        <w:rPr>
          <w:rFonts w:ascii="Times New Roman" w:cs="Times New Roman" w:eastAsia="Times New Roman" w:hAnsi="Times New Roman"/>
          <w:sz w:val="24"/>
          <w:szCs w:val="24"/>
          <w:vertAlign w:val="superscript"/>
          <w:rtl w:val="0"/>
        </w:rPr>
        <w:t xml:space="preserve">12,15</w:t>
      </w:r>
      <w:r w:rsidDel="00000000" w:rsidR="00000000" w:rsidRPr="00000000">
        <w:rPr>
          <w:rFonts w:ascii="Times New Roman" w:cs="Times New Roman" w:eastAsia="Times New Roman" w:hAnsi="Times New Roman"/>
          <w:sz w:val="24"/>
          <w:szCs w:val="24"/>
          <w:rtl w:val="0"/>
        </w:rPr>
        <w:t xml:space="preserve">. Pemeriksaan yang sistematis dan komunikasi klinis yang adekuat menjadi bagian penting dalam proses ini, karena dapat membantu mengurangi kecemasan pasien serta meningkatkan pemahaman terhadap kondisi yang dialami</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Dari sudut pandang diagnosis banding, hidrokel perlu dibedakan secara cermat dari berbagai kondisi lain yang dapat menimbulkan pembesaran skrotum</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Hernia inguinalis dapat memberikan gambaran klinis yang fluktuatif dan sering berkaitan dengan peningkatan tekanan intraabdomen, sedangkan varikokel memiliki karakteristik konsistensi khas akibat dilatasi pleksus pampiniformis</w:t>
      </w:r>
      <w:r w:rsidDel="00000000" w:rsidR="00000000" w:rsidRPr="00000000">
        <w:rPr>
          <w:rFonts w:ascii="Times New Roman" w:cs="Times New Roman" w:eastAsia="Times New Roman" w:hAnsi="Times New Roman"/>
          <w:sz w:val="24"/>
          <w:szCs w:val="24"/>
          <w:vertAlign w:val="superscript"/>
          <w:rtl w:val="0"/>
        </w:rPr>
        <w:t xml:space="preserve">4,14</w:t>
      </w:r>
      <w:r w:rsidDel="00000000" w:rsidR="00000000" w:rsidRPr="00000000">
        <w:rPr>
          <w:rFonts w:ascii="Times New Roman" w:cs="Times New Roman" w:eastAsia="Times New Roman" w:hAnsi="Times New Roman"/>
          <w:sz w:val="24"/>
          <w:szCs w:val="24"/>
          <w:rtl w:val="0"/>
        </w:rPr>
        <w:t xml:space="preserve">. Tumor testis dan kelainan intraskrotal lainnya juga harus dipertimbangkan, terutama pada pembesaran skrotum yang disertai perubahan konsistensi testis. Perbedaan karakteristik klinis tersebut menegaskan pentingnya pemeriksaan fisik yang teliti sebagai langkah awal dalam proses diagnostik</w:t>
      </w:r>
      <w:r w:rsidDel="00000000" w:rsidR="00000000" w:rsidRPr="00000000">
        <w:rPr>
          <w:rFonts w:ascii="Times New Roman" w:cs="Times New Roman" w:eastAsia="Times New Roman" w:hAnsi="Times New Roman"/>
          <w:sz w:val="24"/>
          <w:szCs w:val="24"/>
          <w:vertAlign w:val="superscript"/>
          <w:rtl w:val="0"/>
        </w:rPr>
        <w:t xml:space="preserve">9,15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perkembangan praktik klinis modern, ultrasonografi skrotum berperan sebagai modalitas penunjang yang penting karena bersifat non-invasif dan mampu memberikan visualisasi struktur intraskrotal secara rinci</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 Pemeriksaan ini memungkinkan penilaian hubungan antara koleksi cairan dengan jaringan testis dan epididimis, serta membantu memastikan tidak adanya kelainan intratestikular yang menyertai. Meskipun pada banyak kasus diagnosis hidrokel dapat ditegakkan secara klinis, penggunaan ultrasonografi memberikan nilai tambah dalam meningkatkan akurasi diagnosis</w:t>
      </w:r>
      <w:r w:rsidDel="00000000" w:rsidR="00000000" w:rsidRPr="00000000">
        <w:rPr>
          <w:rFonts w:ascii="Times New Roman" w:cs="Times New Roman" w:eastAsia="Times New Roman" w:hAnsi="Times New Roman"/>
          <w:sz w:val="24"/>
          <w:szCs w:val="24"/>
          <w:vertAlign w:val="superscript"/>
          <w:rtl w:val="0"/>
        </w:rPr>
        <w:t xml:space="preserve">2,15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Pertimbangan penatalaksanaan hidrokel tidak hanya ditentukan oleh ukuran atau derajat pembesaran skrotum, tetapi juga oleh dampaknya terhadap fungsi dan aktivitas sehari-hari pasien</w:t>
      </w:r>
      <w:r w:rsidDel="00000000" w:rsidR="00000000" w:rsidRPr="00000000">
        <w:rPr>
          <w:rFonts w:ascii="Times New Roman" w:cs="Times New Roman" w:eastAsia="Times New Roman" w:hAnsi="Times New Roman"/>
          <w:sz w:val="24"/>
          <w:szCs w:val="24"/>
          <w:vertAlign w:val="superscript"/>
          <w:rtl w:val="0"/>
        </w:rPr>
        <w:t xml:space="preserve">3,7</w:t>
      </w:r>
      <w:r w:rsidDel="00000000" w:rsidR="00000000" w:rsidRPr="00000000">
        <w:rPr>
          <w:rFonts w:ascii="Times New Roman" w:cs="Times New Roman" w:eastAsia="Times New Roman" w:hAnsi="Times New Roman"/>
          <w:sz w:val="24"/>
          <w:szCs w:val="24"/>
          <w:rtl w:val="0"/>
        </w:rPr>
        <w:t xml:space="preserve">. Hidrokel berukuran besar dapat menimbulkan gangguan mobilitas, ketidaknyamanan kronis, serta implikasi terhadap kualitas hidup. Oleh karena itu, keputusan untuk melakukan intervensi bedah umumnya didasarkan pada evaluasi menyeluruh terhadap keluhan subjektif, temuan klinis, serta preferensi pasien</w:t>
      </w:r>
      <w:r w:rsidDel="00000000" w:rsidR="00000000" w:rsidRPr="00000000">
        <w:rPr>
          <w:rFonts w:ascii="Times New Roman" w:cs="Times New Roman" w:eastAsia="Times New Roman" w:hAnsi="Times New Roman"/>
          <w:sz w:val="24"/>
          <w:szCs w:val="24"/>
          <w:vertAlign w:val="superscript"/>
          <w:rtl w:val="0"/>
        </w:rPr>
        <w:t xml:space="preserve">10,16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konteks pembedahan, prinsip dasar penatalaksanaan hidrokel adalah eliminasi ruang potensial tempat terjadinya akumulasi cairan guna mencegah kekambuhan</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Pemilihan teknik operatif disesuaikan dengan kondisi klinis, karakteristik hidrokel, dan pertimbangan operator</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 Pendekatan yang tepat umumnya memberikan luaran yang baik dengan angka komplikasi dan rekurensi yang relatif rendah. Perawatan pascaoperasi, termasuk pemantauan penyembuhan luka dan edukasi mengenai tanda komplikasi, merupakan bagian integral dari keberhasilan terapi</w:t>
      </w:r>
      <w:r w:rsidDel="00000000" w:rsidR="00000000" w:rsidRPr="00000000">
        <w:rPr>
          <w:rFonts w:ascii="Times New Roman" w:cs="Times New Roman" w:eastAsia="Times New Roman" w:hAnsi="Times New Roman"/>
          <w:sz w:val="24"/>
          <w:szCs w:val="24"/>
          <w:vertAlign w:val="superscript"/>
          <w:rtl w:val="0"/>
        </w:rPr>
        <w:t xml:space="preserve">1,7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keseluruhan, pendekatan terhadap hidrokel sebaiknya dilakukan secara komprehensif dengan mempertimbangkan aspek anatomi, patofisiologi, dan implikasi klinis</w:t>
      </w:r>
      <w:r w:rsidDel="00000000" w:rsidR="00000000" w:rsidRPr="00000000">
        <w:rPr>
          <w:rFonts w:ascii="Times New Roman" w:cs="Times New Roman" w:eastAsia="Times New Roman" w:hAnsi="Times New Roman"/>
          <w:sz w:val="24"/>
          <w:szCs w:val="24"/>
          <w:vertAlign w:val="superscript"/>
          <w:rtl w:val="0"/>
        </w:rPr>
        <w:t xml:space="preserve">9,11</w:t>
      </w:r>
      <w:r w:rsidDel="00000000" w:rsidR="00000000" w:rsidRPr="00000000">
        <w:rPr>
          <w:rFonts w:ascii="Times New Roman" w:cs="Times New Roman" w:eastAsia="Times New Roman" w:hAnsi="Times New Roman"/>
          <w:sz w:val="24"/>
          <w:szCs w:val="24"/>
          <w:rtl w:val="0"/>
        </w:rPr>
        <w:t xml:space="preserve">. Selain itu, faktor psikologis dan sosial pasien juga perlu diperhatikan, mengingat kelainan pada organ genital dapat berdampak terhadap persepsi diri dan kualitas hidup</w:t>
      </w:r>
      <w:r w:rsidDel="00000000" w:rsidR="00000000" w:rsidRPr="00000000">
        <w:rPr>
          <w:rFonts w:ascii="Times New Roman" w:cs="Times New Roman" w:eastAsia="Times New Roman" w:hAnsi="Times New Roman"/>
          <w:sz w:val="24"/>
          <w:szCs w:val="24"/>
          <w:vertAlign w:val="superscript"/>
          <w:rtl w:val="0"/>
        </w:rPr>
        <w:t xml:space="preserve">3,10</w:t>
      </w:r>
      <w:r w:rsidDel="00000000" w:rsidR="00000000" w:rsidRPr="00000000">
        <w:rPr>
          <w:rFonts w:ascii="Times New Roman" w:cs="Times New Roman" w:eastAsia="Times New Roman" w:hAnsi="Times New Roman"/>
          <w:sz w:val="24"/>
          <w:szCs w:val="24"/>
          <w:rtl w:val="0"/>
        </w:rPr>
        <w:t xml:space="preserve">. Pendekatan yang sistematis dan berbasis kajian ilmiah diharapkan mampu menghasilkan penatalaksanaan yang optimal serta meningkatkan luaran klinis</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Kesimpulan</w:t>
        <w:br w:type="textWrapping"/>
      </w:r>
      <w:r w:rsidDel="00000000" w:rsidR="00000000" w:rsidRPr="00000000">
        <w:rPr>
          <w:rFonts w:ascii="Times New Roman" w:cs="Times New Roman" w:eastAsia="Times New Roman" w:hAnsi="Times New Roman"/>
          <w:sz w:val="24"/>
          <w:szCs w:val="24"/>
          <w:rtl w:val="0"/>
        </w:rPr>
        <w:t xml:space="preserve">Hidrokel merupakan kelainan skrotum yang sering dijumpai dan umumnya bersifat jinak, namun tetap memerlukan evaluasi dan penatalaksanaan yang tepat. Pemahaman mengenai mekanisme terjadinya hidrokel, gambaran klinis, serta pendekatan diagnostik dan terapeutik sangat penting dalam praktik bedah. Dengan pendekatan yang sistematis dan berbasis kajian pustaka, hidrokel dapat ditangani secara efektif sehingga keluhan pasien dapat diminimalkan dan kualitas hidup tetap terjaga.</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9">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Purnomo, Basuki B. Dasar-dasar Urologi. Edisi ke-2. Jakarta: CV Sagung Seto,</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Crawford P, Crop JA. Evaluation of scrotal masses. Am Fam Physician. 2014 May 1;89(9):723-7. PMID: 24784335.</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Wilcox, D.T., &amp; Thomas, D.F.M. (Eds.). (2021). Essentials of Pediatric Urology (3rd ed.). CRC Press.</w:t>
      </w:r>
      <w:hyperlink r:id="rId6">
        <w:r w:rsidDel="00000000" w:rsidR="00000000" w:rsidRPr="00000000">
          <w:rPr>
            <w:rFonts w:ascii="Times New Roman" w:cs="Times New Roman" w:eastAsia="Times New Roman" w:hAnsi="Times New Roman"/>
            <w:sz w:val="24"/>
            <w:szCs w:val="24"/>
            <w:rtl w:val="0"/>
          </w:rPr>
          <w:t xml:space="preserve"> </w:t>
        </w:r>
      </w:hyperlink>
      <w:hyperlink r:id="rId7">
        <w:r w:rsidDel="00000000" w:rsidR="00000000" w:rsidRPr="00000000">
          <w:rPr>
            <w:rFonts w:ascii="Times New Roman" w:cs="Times New Roman" w:eastAsia="Times New Roman" w:hAnsi="Times New Roman"/>
            <w:color w:val="1155cc"/>
            <w:sz w:val="24"/>
            <w:szCs w:val="24"/>
            <w:u w:val="single"/>
            <w:rtl w:val="0"/>
          </w:rPr>
          <w:t xml:space="preserve">https://doi.org/10.1201/9781003182023</w:t>
        </w:r>
      </w:hyperlink>
      <w:r w:rsidDel="00000000" w:rsidR="00000000" w:rsidRPr="00000000">
        <w:rPr>
          <w:rtl w:val="0"/>
        </w:rPr>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Huzaifa M, Moreno MA. Hydrocele. [Updated 2023 Jul 3]. In: StatPearls [Internet]. Treasure Island (FL): StatPearls Publishing; 2024 Jan-. Available from:</w:t>
        <w:br w:type="textWrapping"/>
      </w:r>
      <w:hyperlink r:id="rId8">
        <w:r w:rsidDel="00000000" w:rsidR="00000000" w:rsidRPr="00000000">
          <w:rPr>
            <w:rFonts w:ascii="Times New Roman" w:cs="Times New Roman" w:eastAsia="Times New Roman" w:hAnsi="Times New Roman"/>
            <w:color w:val="1155cc"/>
            <w:sz w:val="24"/>
            <w:szCs w:val="24"/>
            <w:u w:val="single"/>
            <w:rtl w:val="0"/>
          </w:rPr>
          <w:t xml:space="preserve">https://www.ncbi.nlm.nih.gov/books/NBK559125/</w:t>
        </w:r>
      </w:hyperlink>
      <w:r w:rsidDel="00000000" w:rsidR="00000000" w:rsidRPr="00000000">
        <w:rPr>
          <w:rtl w:val="0"/>
        </w:rPr>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Borgmann, H. (2014). Hydrocele. In: Merseburger, A., Kuczyk, M., Moul, J. (eds) Urology at a Glance. Springer, Berlin, Heidelberg.</w:t>
      </w:r>
      <w:hyperlink r:id="rId9">
        <w:r w:rsidDel="00000000" w:rsidR="00000000" w:rsidRPr="00000000">
          <w:rPr>
            <w:rFonts w:ascii="Times New Roman" w:cs="Times New Roman" w:eastAsia="Times New Roman" w:hAnsi="Times New Roman"/>
            <w:sz w:val="24"/>
            <w:szCs w:val="24"/>
            <w:rtl w:val="0"/>
          </w:rPr>
          <w:t xml:space="preserve"> </w:t>
        </w:r>
      </w:hyperlink>
      <w:hyperlink r:id="rId10">
        <w:r w:rsidDel="00000000" w:rsidR="00000000" w:rsidRPr="00000000">
          <w:rPr>
            <w:rFonts w:ascii="Times New Roman" w:cs="Times New Roman" w:eastAsia="Times New Roman" w:hAnsi="Times New Roman"/>
            <w:color w:val="1155cc"/>
            <w:sz w:val="24"/>
            <w:szCs w:val="24"/>
            <w:u w:val="single"/>
            <w:rtl w:val="0"/>
          </w:rPr>
          <w:t xml:space="preserve">https://doi.org/10.1007/978</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3-642-54859-8_52</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Srivastav, Yash &amp; Prajapati, Akhandnath. (2023). BRIEF SUMMARY: HYDROCELE AND CURRENT THERAPY OPTIONS. 7. 47.</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Hattori M, Tonooka A, Zaitsu M, Mikami K, Suzue-Yanagisawa A, Uekusa T, Takeuchi T. Overexpression of aquaporin 1 in the tunica vaginalis may contribute to adult-onset primary hydrocele testis. Adv Urol. 2014;2014:202434</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Smith &amp; Tanagho's General Urology, 19e Eds. Jack W. McAninch, and Tom F. Lue. McGraw Hill, 2020,</w:t>
      </w:r>
      <w:hyperlink r:id="rId11">
        <w:r w:rsidDel="00000000" w:rsidR="00000000" w:rsidRPr="00000000">
          <w:rPr>
            <w:rFonts w:ascii="Times New Roman" w:cs="Times New Roman" w:eastAsia="Times New Roman" w:hAnsi="Times New Roman"/>
            <w:sz w:val="24"/>
            <w:szCs w:val="24"/>
            <w:rtl w:val="0"/>
          </w:rPr>
          <w:t xml:space="preserve"> </w:t>
        </w:r>
      </w:hyperlink>
      <w:hyperlink r:id="rId12">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https://accessmedicine.mhmedical.com/content.aspx?bookid=2840&amp;secti</w:t>
        </w:r>
      </w:hyperlink>
      <w:r w:rsidDel="00000000" w:rsidR="00000000" w:rsidRPr="00000000">
        <w:rPr>
          <w:rFonts w:ascii="Times New Roman" w:cs="Times New Roman" w:eastAsia="Times New Roman" w:hAnsi="Times New Roman"/>
          <w:sz w:val="24"/>
          <w:szCs w:val="24"/>
          <w:rtl w:val="0"/>
        </w:rPr>
        <w:t xml:space="preserve">onid=241657936.</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Mäki-Lohiluoma L, Kilpeläinen TP, Järvinen P, Söderström HK, Tikkinen KAO, Sairanen J. Risk of Complications After Hydrocele Surgery: A Retrospective Multicenter Study in Helsinki Metropolitan Area. Eur Urol Open Sci. 2022 Jul 19;43:22-27. doi: 10.1016/j.euros.2022.06.008. PMID: 36353068; PMCID: PMC9638760.</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Dagur, Gautama; Gandhi, Jasona; Suh, Yijia; Weissbart, Stevenb,c; Sheynkin, Yefim R.b; Smith, Noel L.d; Joshi, Gargia; Khan, Sardar Alia,b. Classifying Hydroceles of the Pelvis and Groin: An Overview of Etiology, Secondary Complications, Evaluation, and Management. Current Urology 10(1):p 1-14, July 2017. | DOI: 10.1159/000447145</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Fourie N, Banieghbal B. Pediatric Hydrocele: A Comprehensive Review. Clin Surg. 2017; 2: 1448.</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Rashid S, Kishore A, Ahmad B, Liang LM-S, Mironov O, Mahmood SU. Sclerotherapy in the Treatment of Hydroceles: A Comprehensive Review of the Efficacy, Types of Sclerosants, and Comparative Outcomes Against Hydrocelectomy. Canadian Association of Radiologists Journal. 2024;0(0). doi:10.1177/08465371241243271</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Keith L. Moore, Arthur F. Dalley II, and Anne M. R. Agur, Baltimore, MD: Lippincott Williams &amp; Wilkins. 2014. Clinically Oriented Anatomy, 7th Edition, 1134 pages, Paperback, ISBN 978-1-4511-1945-9. Price: $92.99. Clin Anat. 2014;27(2):274. doi:10.1002/ca.22316</w:t>
      </w:r>
    </w:p>
    <w:p w:rsidR="00000000" w:rsidDel="00000000" w:rsidP="00000000" w:rsidRDefault="00000000" w:rsidRPr="00000000" w14:paraId="0000002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Titi-Lartey OA, Khan YS. Embryology, Testicle. [Updated 2023 Apr 24]. In: StatPearls [Internet]. Treasure Island (FL): StatPearls Publishing; 2024 Jan. Available from:</w:t>
      </w:r>
      <w:hyperlink r:id="rId13">
        <w:r w:rsidDel="00000000" w:rsidR="00000000" w:rsidRPr="00000000">
          <w:rPr>
            <w:rFonts w:ascii="Times New Roman" w:cs="Times New Roman" w:eastAsia="Times New Roman" w:hAnsi="Times New Roman"/>
            <w:sz w:val="24"/>
            <w:szCs w:val="24"/>
            <w:rtl w:val="0"/>
          </w:rPr>
          <w:t xml:space="preserve"> </w:t>
        </w:r>
      </w:hyperlink>
      <w:hyperlink r:id="rId14">
        <w:r w:rsidDel="00000000" w:rsidR="00000000" w:rsidRPr="00000000">
          <w:rPr>
            <w:rFonts w:ascii="Times New Roman" w:cs="Times New Roman" w:eastAsia="Times New Roman" w:hAnsi="Times New Roman"/>
            <w:color w:val="1155cc"/>
            <w:sz w:val="24"/>
            <w:szCs w:val="24"/>
            <w:u w:val="single"/>
            <w:rtl w:val="0"/>
          </w:rPr>
          <w:t xml:space="preserve">https://www.ncbi.nlm.nih.gov/books/NBK557763/</w:t>
        </w:r>
      </w:hyperlink>
      <w:r w:rsidDel="00000000" w:rsidR="00000000" w:rsidRPr="00000000">
        <w:rPr>
          <w:rtl w:val="0"/>
        </w:rPr>
      </w:r>
    </w:p>
    <w:p w:rsidR="00000000" w:rsidDel="00000000" w:rsidP="00000000" w:rsidRDefault="00000000" w:rsidRPr="00000000" w14:paraId="0000002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Yonder S, Pandey J. Filarial Hydrocele. [Updated 2023 Jul 31]. In: StatPearls [Internet]. Treasure Island (FL): StatPearls Publishing; 2024 Jan-. Available from:</w:t>
      </w:r>
      <w:hyperlink r:id="rId15">
        <w:r w:rsidDel="00000000" w:rsidR="00000000" w:rsidRPr="00000000">
          <w:rPr>
            <w:rFonts w:ascii="Times New Roman" w:cs="Times New Roman" w:eastAsia="Times New Roman" w:hAnsi="Times New Roman"/>
            <w:sz w:val="24"/>
            <w:szCs w:val="24"/>
            <w:rtl w:val="0"/>
          </w:rPr>
          <w:t xml:space="preserve"> </w:t>
        </w:r>
      </w:hyperlink>
      <w:hyperlink r:id="rId16">
        <w:r w:rsidDel="00000000" w:rsidR="00000000" w:rsidRPr="00000000">
          <w:rPr>
            <w:rFonts w:ascii="Times New Roman" w:cs="Times New Roman" w:eastAsia="Times New Roman" w:hAnsi="Times New Roman"/>
            <w:color w:val="1155cc"/>
            <w:sz w:val="24"/>
            <w:szCs w:val="24"/>
            <w:u w:val="single"/>
            <w:rtl w:val="0"/>
          </w:rPr>
          <w:t xml:space="preserve">https://www.ncbi.nlm.nih.gov/books/NBK560776/</w:t>
        </w:r>
      </w:hyperlink>
      <w:r w:rsidDel="00000000" w:rsidR="00000000" w:rsidRPr="00000000">
        <w:rPr>
          <w:rtl w:val="0"/>
        </w:rPr>
      </w:r>
    </w:p>
    <w:p w:rsidR="00000000" w:rsidDel="00000000" w:rsidP="00000000" w:rsidRDefault="00000000" w:rsidRPr="00000000" w14:paraId="00000028">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 C Freitas, M R Sanches, AdC Dosatti, (O-24) EFFICACY OF ASPIRATION AND SCLEROTHERAPY FOR HYDROCELE: A SYSTEMATIC REVIEW, The Journal of Sexual Medicine, Volume 21, Issue Supplement_3, April 2024,</w:t>
      </w:r>
      <w:hyperlink r:id="rId17">
        <w:r w:rsidDel="00000000" w:rsidR="00000000" w:rsidRPr="00000000">
          <w:rPr>
            <w:rFonts w:ascii="Times New Roman" w:cs="Times New Roman" w:eastAsia="Times New Roman" w:hAnsi="Times New Roman"/>
            <w:sz w:val="24"/>
            <w:szCs w:val="24"/>
            <w:rtl w:val="0"/>
          </w:rPr>
          <w:t xml:space="preserve"> </w:t>
        </w:r>
      </w:hyperlink>
      <w:hyperlink r:id="rId18">
        <w:r w:rsidDel="00000000" w:rsidR="00000000" w:rsidRPr="00000000">
          <w:rPr>
            <w:rFonts w:ascii="Times New Roman" w:cs="Times New Roman" w:eastAsia="Times New Roman" w:hAnsi="Times New Roman"/>
            <w:color w:val="1155cc"/>
            <w:sz w:val="24"/>
            <w:szCs w:val="24"/>
            <w:u w:val="single"/>
            <w:rtl w:val="0"/>
          </w:rPr>
          <w:t xml:space="preserve">https://doi.org/10.1093/jsxmed/qdae018.018</w:t>
        </w:r>
      </w:hyperlink>
      <w:r w:rsidDel="00000000" w:rsidR="00000000" w:rsidRPr="00000000">
        <w:rPr>
          <w:rtl w:val="0"/>
        </w:rPr>
      </w:r>
    </w:p>
    <w:p w:rsidR="00000000" w:rsidDel="00000000" w:rsidP="00000000" w:rsidRDefault="00000000" w:rsidRPr="00000000" w14:paraId="00000029">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2A">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2B">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2C">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2D">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2E">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2F">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30">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31">
      <w:pPr>
        <w:spacing w:after="240" w:befor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32">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5731200" cy="1816100"/>
            <wp:effectExtent b="0" l="0" r="0" t="0"/>
            <wp:docPr id="1" name="image2.png"/>
            <a:graphic>
              <a:graphicData uri="http://schemas.openxmlformats.org/drawingml/2006/picture">
                <pic:pic>
                  <pic:nvPicPr>
                    <pic:cNvPr id="0" name="image2.png"/>
                    <pic:cNvPicPr preferRelativeResize="0"/>
                  </pic:nvPicPr>
                  <pic:blipFill>
                    <a:blip r:embed="rId19"/>
                    <a:srcRect b="0" l="0" r="0" t="0"/>
                    <a:stretch>
                      <a:fillRect/>
                    </a:stretch>
                  </pic:blipFill>
                  <pic:spPr>
                    <a:xfrm>
                      <a:off x="0" y="0"/>
                      <a:ext cx="5731200" cy="1816100"/>
                    </a:xfrm>
                    <a:prstGeom prst="rect"/>
                    <a:ln/>
                  </pic:spPr>
                </pic:pic>
              </a:graphicData>
            </a:graphic>
          </wp:inline>
        </w:drawing>
      </w:r>
      <w:r w:rsidDel="00000000" w:rsidR="00000000" w:rsidRPr="00000000">
        <w:rPr>
          <w:rtl w:val="0"/>
        </w:rPr>
      </w:r>
    </w:p>
    <w:p w:rsidR="00000000" w:rsidDel="00000000" w:rsidP="00000000" w:rsidRDefault="00000000" w:rsidRPr="00000000" w14:paraId="00000033">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5731200" cy="2768600"/>
            <wp:effectExtent b="0" l="0" r="0" t="0"/>
            <wp:docPr id="2" name="image1.png"/>
            <a:graphic>
              <a:graphicData uri="http://schemas.openxmlformats.org/drawingml/2006/picture">
                <pic:pic>
                  <pic:nvPicPr>
                    <pic:cNvPr id="0" name="image1.png"/>
                    <pic:cNvPicPr preferRelativeResize="0"/>
                  </pic:nvPicPr>
                  <pic:blipFill>
                    <a:blip r:embed="rId20"/>
                    <a:srcRect b="0" l="0" r="0" t="0"/>
                    <a:stretch>
                      <a:fillRect/>
                    </a:stretch>
                  </pic:blipFill>
                  <pic:spPr>
                    <a:xfrm>
                      <a:off x="0" y="0"/>
                      <a:ext cx="5731200" cy="2768600"/>
                    </a:xfrm>
                    <a:prstGeom prst="rect"/>
                    <a:ln/>
                  </pic:spPr>
                </pic:pic>
              </a:graphicData>
            </a:graphic>
          </wp:inline>
        </w:drawing>
      </w:r>
      <w:r w:rsidDel="00000000" w:rsidR="00000000" w:rsidRPr="00000000">
        <w:rPr>
          <w:rtl w:val="0"/>
        </w:rPr>
      </w:r>
    </w:p>
    <w:p w:rsidR="00000000" w:rsidDel="00000000" w:rsidP="00000000" w:rsidRDefault="00000000" w:rsidRPr="00000000" w14:paraId="00000034">
      <w:pPr>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image" Target="media/image1.png"/><Relationship Id="rId11" Type="http://schemas.openxmlformats.org/officeDocument/2006/relationships/hyperlink" Target="https://accessmedicine.mhmedical.com/content.aspx?bookid=2840&amp;secti" TargetMode="External"/><Relationship Id="rId10" Type="http://schemas.openxmlformats.org/officeDocument/2006/relationships/hyperlink" Target="https://doi.org/10.1007/978" TargetMode="External"/><Relationship Id="rId13" Type="http://schemas.openxmlformats.org/officeDocument/2006/relationships/hyperlink" Target="https://www.ncbi.nlm.nih.gov/books/NBK557763/" TargetMode="External"/><Relationship Id="rId12" Type="http://schemas.openxmlformats.org/officeDocument/2006/relationships/hyperlink" Target="https://accessmedicine.mhmedical.com/content.aspx?bookid=2840&amp;sect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007/978" TargetMode="External"/><Relationship Id="rId15" Type="http://schemas.openxmlformats.org/officeDocument/2006/relationships/hyperlink" Target="https://www.ncbi.nlm.nih.gov/books/NBK560776/" TargetMode="External"/><Relationship Id="rId14" Type="http://schemas.openxmlformats.org/officeDocument/2006/relationships/hyperlink" Target="https://www.ncbi.nlm.nih.gov/books/NBK557763/" TargetMode="External"/><Relationship Id="rId17" Type="http://schemas.openxmlformats.org/officeDocument/2006/relationships/hyperlink" Target="https://doi.org/10.1093/jsxmed/qdae018.018" TargetMode="External"/><Relationship Id="rId16" Type="http://schemas.openxmlformats.org/officeDocument/2006/relationships/hyperlink" Target="https://www.ncbi.nlm.nih.gov/books/NBK560776/" TargetMode="External"/><Relationship Id="rId5" Type="http://schemas.openxmlformats.org/officeDocument/2006/relationships/styles" Target="styles.xml"/><Relationship Id="rId19" Type="http://schemas.openxmlformats.org/officeDocument/2006/relationships/image" Target="media/image2.png"/><Relationship Id="rId6" Type="http://schemas.openxmlformats.org/officeDocument/2006/relationships/hyperlink" Target="https://doi.org/10.1201/9781003182023" TargetMode="External"/><Relationship Id="rId18" Type="http://schemas.openxmlformats.org/officeDocument/2006/relationships/hyperlink" Target="https://doi.org/10.1093/jsxmed/qdae018.018" TargetMode="External"/><Relationship Id="rId7" Type="http://schemas.openxmlformats.org/officeDocument/2006/relationships/hyperlink" Target="https://doi.org/10.1201/9781003182023" TargetMode="External"/><Relationship Id="rId8" Type="http://schemas.openxmlformats.org/officeDocument/2006/relationships/hyperlink" Target="https://www.ncbi.nlm.nih.gov/books/NBK5591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