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Rule="auto"/>
        <w:ind w:right="0"/>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Pendekatan Klinis dan Konseptual Hepatocellular Carcinoma dalam Praktik Kedokteran</w:t>
      </w:r>
    </w:p>
    <w:p w:rsidR="00000000" w:rsidDel="00000000" w:rsidP="00000000" w:rsidRDefault="00000000" w:rsidRPr="00000000" w14:paraId="00000002">
      <w:pPr>
        <w:spacing w:after="0" w:before="0" w:line="240" w:lineRule="auto"/>
        <w:ind w:right="0"/>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Billy Daniel Messakh</w:t>
      </w:r>
    </w:p>
    <w:p w:rsidR="00000000" w:rsidDel="00000000" w:rsidP="00000000" w:rsidRDefault="00000000" w:rsidRPr="00000000" w14:paraId="00000003">
      <w:pPr>
        <w:spacing w:after="0" w:before="0" w:line="240" w:lineRule="auto"/>
        <w:ind w:right="0"/>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Abstrak</w:t>
      </w:r>
      <w:r w:rsidDel="00000000" w:rsidR="00000000" w:rsidRPr="00000000">
        <w:rPr>
          <w:rFonts w:ascii="Times New Roman" w:cs="Times New Roman" w:eastAsia="Times New Roman" w:hAnsi="Times New Roman"/>
          <w:sz w:val="24"/>
          <w:szCs w:val="24"/>
          <w:rtl w:val="0"/>
        </w:rPr>
        <w:br w:type="textWrapping"/>
        <w:t xml:space="preserve">Hepatocellular carcinoma merupakan keganasan hati primer yang berkembang melalui proses biologis yang kompleks dan umumnya berkaitan erat dengan penyakit hati kronik, termasuk sirosis dan infeksi hepatitis B atau C. Beban penyakit ini masih tinggi secara global, terutama karena diagnosis sering ditegakkan pada stadium lanjut ketika pilihan terapi bersifat terbatas dan prognosa cenderung buruk. Faktor risiko tambahan seperti konsumsi alkohol berlebihan, obesitas, dan steatohepatitis non-alkoholik juga berkontribusi terhadap peningkatan insidensi. Artikel ini disusun untuk membahas hepatocellular carcinoma secara konseptual dan klinis, dengan menitikberatkan pada mekanisme patogenesis, variasi manifestasi klinis, pendekatan diagnostik, serta prinsip penatalaksanaan yang relevan dalam praktik kedokteran modern. Penulisan artikel dilakukan menggunakan metode studi literatur terhadap buku ajar kedokteran, pedoman praktik klinis, serta artikel ilmiah nasional dan internasional yang membahas kanker hati primer dan penyakit hati kronik. Literatur dipilih berdasarkan relevansi topik, kredibilitas sumber, dan kebaruan informasi. Data yang diperoleh dianalisis secara naratif dan disintesis untuk membangun pemahaman yang terintegrasi mengenai hepatocellular carcinoma, termasuk strategi skrining, diagnosis dini, pilihan terapi medis dan bedah, serta pendekatan multidisipliner untuk peningkatan kualitas hidup pasien. Diharapkan artikel ini dapat menjadi landasan konseptual bagi tenaga kesehatan dalam memahami kompleksitas penyakit, mendukung penilaian klinis yang rasional, serta membantu pengambilan keputusan penatalaksanaan yang berbasis bukti. Sintesis literatur ini juga diharapkan memberikan perspektif terbaru mengenai epidemiologi, faktor risiko, dan inovasi terapi hepatocellular carcinoma yang dapat diterapkan dalam praktik klinis sehari-hari.</w:t>
      </w:r>
    </w:p>
    <w:p w:rsidR="00000000" w:rsidDel="00000000" w:rsidP="00000000" w:rsidRDefault="00000000" w:rsidRPr="00000000" w14:paraId="00000005">
      <w:pPr>
        <w:spacing w:after="240" w:before="240" w:lineRule="auto"/>
        <w:ind w:right="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Kata kunci: hepatocellular carcinoma, kanker hati primer, penyakit hati kronik, penatalaksanaan</w:t>
      </w:r>
    </w:p>
    <w:p w:rsidR="00000000" w:rsidDel="00000000" w:rsidP="00000000" w:rsidRDefault="00000000" w:rsidRPr="00000000" w14:paraId="00000006">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Pendahuluan</w:t>
      </w:r>
      <w:r w:rsidDel="00000000" w:rsidR="00000000" w:rsidRPr="00000000">
        <w:rPr>
          <w:rFonts w:ascii="Times New Roman" w:cs="Times New Roman" w:eastAsia="Times New Roman" w:hAnsi="Times New Roman"/>
          <w:sz w:val="24"/>
          <w:szCs w:val="24"/>
          <w:rtl w:val="0"/>
        </w:rPr>
        <w:br w:type="textWrapping"/>
        <w:t xml:space="preserve">Hepatocellular carcinoma (HCC) merupakan keganasan hati primer yang berasal dari sel hepatosit dan hingga saat ini masih menjadi salah satu penyebab utama mortalitas terkait kanker di dunia</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Tingginya angka kematian akibat HCC tidak hanya disebabkan oleh sifat biologis tumor yang agresif, tetapi juga oleh kompleksitas latar belakang penyakit hati kronik yang sering menyertainya</w:t>
      </w:r>
      <w:r w:rsidDel="00000000" w:rsidR="00000000" w:rsidRPr="00000000">
        <w:rPr>
          <w:rFonts w:ascii="Times New Roman" w:cs="Times New Roman" w:eastAsia="Times New Roman" w:hAnsi="Times New Roman"/>
          <w:sz w:val="24"/>
          <w:szCs w:val="24"/>
          <w:vertAlign w:val="superscript"/>
          <w:rtl w:val="0"/>
        </w:rPr>
        <w:t xml:space="preserve">2,3</w:t>
      </w:r>
      <w:r w:rsidDel="00000000" w:rsidR="00000000" w:rsidRPr="00000000">
        <w:rPr>
          <w:rFonts w:ascii="Times New Roman" w:cs="Times New Roman" w:eastAsia="Times New Roman" w:hAnsi="Times New Roman"/>
          <w:sz w:val="24"/>
          <w:szCs w:val="24"/>
          <w:rtl w:val="0"/>
        </w:rPr>
        <w:t xml:space="preserve">. Dalam banyak kasus, HCC berkembang secara perlahan dan asimtomatik pada fase awal, sehingga diagnosis sering kali ditegakkan pada stadium lanjut dengan prognosis yang kurang baik</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7">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Hati merupakan organ sentral dengan fungsi metabolik, sintetik, dan detoksifikasi yang esensial bagi homeostasis tubuh</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Paparan faktor risiko jangka panjang, seperti infeksi virus hepatitis, konsumsi alkohol kronik, serta gangguan metabolik, dapat menyebabkan kerusakan hati progresif yang ditandai oleh inflamasi kronik dan regenerasi sel berulang</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sz w:val="24"/>
          <w:szCs w:val="24"/>
          <w:rtl w:val="0"/>
        </w:rPr>
        <w:t xml:space="preserve">. Proses ini menciptakan lingkungan mikro yang kondusif bagi terjadinya instabilitas genetik dan epigenetik, yang pada akhirnya memicu transformasi sel hepatosit menjadi sel ganas</w:t>
      </w:r>
      <w:r w:rsidDel="00000000" w:rsidR="00000000" w:rsidRPr="00000000">
        <w:rPr>
          <w:rFonts w:ascii="Times New Roman" w:cs="Times New Roman" w:eastAsia="Times New Roman" w:hAnsi="Times New Roman"/>
          <w:sz w:val="24"/>
          <w:szCs w:val="24"/>
          <w:vertAlign w:val="superscript"/>
          <w:rtl w:val="0"/>
        </w:rPr>
        <w:t xml:space="preserve">8,9</w:t>
      </w:r>
      <w:r w:rsidDel="00000000" w:rsidR="00000000" w:rsidRPr="00000000">
        <w:rPr>
          <w:rFonts w:ascii="Times New Roman" w:cs="Times New Roman" w:eastAsia="Times New Roman" w:hAnsi="Times New Roman"/>
          <w:sz w:val="24"/>
          <w:szCs w:val="24"/>
          <w:rtl w:val="0"/>
        </w:rPr>
        <w:t xml:space="preserve">. Oleh karena itu, HCC sering dipandang sebagai komplikasi akhir dari perjalanan penyakit hati kronik</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8">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Distribusi HCC menunjukkan variasi geografis yang mencerminkan perbedaan prevalensi faktor risiko</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 Infeksi virus hepatitis B dan C masih menjadi penyebab dominan di banyak wilayah, terutama di Asia dan Afrika</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Namun, peningkatan prevalensi obesitas, diabetes melitus, dan non-alcoholic fatty liver disease dalam beberapa dekade terakhir telah menggeser pola etiologi HCC di berbagai negara</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Pergeseran ini menimbulkan tantangan baru dalam upaya pencegahan dan deteksi dini</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9">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HCC sering kali tidak menimbulkan gejala spesifik pada tahap awal</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sz w:val="24"/>
          <w:szCs w:val="24"/>
          <w:rtl w:val="0"/>
        </w:rPr>
        <w:t xml:space="preserve">. Manifestasi klinis baru muncul ketika tumor mencapai ukuran tertentu atau ketika fungsi hati mengalami dekompensasi</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 Kondisi ini menyebabkan keterlambatan diagnosis dan membatasi peluang terapi kuratif 2,6. Selain itu, gejala HCC sering kali tumpang tindih dengan manifestasi penyakit hati kronik yang mendasari, sehingga menuntut kewaspadaan klinis yang tinggi</w:t>
      </w:r>
      <w:r w:rsidDel="00000000" w:rsidR="00000000" w:rsidRPr="00000000">
        <w:rPr>
          <w:rFonts w:ascii="Times New Roman" w:cs="Times New Roman" w:eastAsia="Times New Roman" w:hAnsi="Times New Roman"/>
          <w:sz w:val="24"/>
          <w:szCs w:val="24"/>
          <w:vertAlign w:val="superscript"/>
          <w:rtl w:val="0"/>
        </w:rPr>
        <w:t xml:space="preserve">3,5,7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Kompleksitas HCC tidak hanya terletak pada proses patogenesisnya, tetapi juga pada pendekatan diagnostik dan terapeutik yang harus mempertimbangkan status fungsi hati pasien</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Penilaian stadium tumor, cadangan fungsi hati, dan kondisi umum pasien merupakan komponen penting dalam perencanaan penatalaksanaan. Pendekatan yang kurang tepat berpotensi memperburuk fungsi hati dan menurunkan kualitas hidup pasien</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Metode</w:t>
      </w:r>
      <w:r w:rsidDel="00000000" w:rsidR="00000000" w:rsidRPr="00000000">
        <w:rPr>
          <w:rFonts w:ascii="Times New Roman" w:cs="Times New Roman" w:eastAsia="Times New Roman" w:hAnsi="Times New Roman"/>
          <w:sz w:val="24"/>
          <w:szCs w:val="24"/>
          <w:rtl w:val="0"/>
        </w:rPr>
        <w:br w:type="textWrapping"/>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ajar kedokteran, pedoman praktik klinis, serta artikel ilmiah nasional dan internasional yang membahas hepatocellular carcinoma, kanker hati primer, dan penyakit hati kronik. Literatur dipilih berdasarkan relevansi topik, kredibilitas sumber, dan kebaruan informasi. Data yang diperoleh dianalisis secara naratif dan disintesis untuk menyajikan pembahasan konseptual dan klinis yang terintegrasi.</w:t>
      </w:r>
    </w:p>
    <w:p w:rsidR="00000000" w:rsidDel="00000000" w:rsidP="00000000" w:rsidRDefault="00000000" w:rsidRPr="00000000" w14:paraId="0000000C">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Pembahasan</w:t>
      </w:r>
      <w:r w:rsidDel="00000000" w:rsidR="00000000" w:rsidRPr="00000000">
        <w:rPr>
          <w:rFonts w:ascii="Times New Roman" w:cs="Times New Roman" w:eastAsia="Times New Roman" w:hAnsi="Times New Roman"/>
          <w:sz w:val="24"/>
          <w:szCs w:val="24"/>
          <w:rtl w:val="0"/>
        </w:rPr>
        <w:br w:type="textWrapping"/>
        <w:t xml:space="preserve">Hepatocellular carcinoma berkembang melalui proses karsinogenesis multistadium yang dipengaruhi oleh interaksi kompleks antara faktor genetik, lingkungan, dan kondisi patologis hati</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Inflamasi kronik yang berlangsung lama menyebabkan stres oksidatif dan kerusakan DNA, sementara proses regenerasi hepatosit yang berulang meningkatkan peluang terjadinya mutasi</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Akumulasi perubahan molekuler ini berperan dalam aktivasi jalur onkogenik dan inaktivasi gen supresor tumor, sehingga mendorong pertumbuhan sel yang tidak terkendali</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Lingkungan mikro hati pada kondisi penyakit kronik turut memengaruhi perilaku biologis tumor. Fibrosis dan sirosis mengubah arsitektur jaringan hati, memengaruhi aliran darah, dan menciptakan kondisi hipoksia yang dapat mempercepat progresivitas tumor. Pada sebagian kasus, nodul displastik yang terbentuk pada sirosis berfungsi sebagai lesi prekursor yang berkembang menjadi HCC invasif. Hal ini menjelaskan hubungan erat antara sirosis dan kejadian HCC</w:t>
      </w:r>
      <w:r w:rsidDel="00000000" w:rsidR="00000000" w:rsidRPr="00000000">
        <w:rPr>
          <w:rFonts w:ascii="Times New Roman" w:cs="Times New Roman" w:eastAsia="Times New Roman" w:hAnsi="Times New Roman"/>
          <w:sz w:val="24"/>
          <w:szCs w:val="24"/>
          <w:vertAlign w:val="superscript"/>
          <w:rtl w:val="0"/>
        </w:rPr>
        <w:t xml:space="preserve">12,14,15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E">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Gambaran klinis HCC sangat bervariasi dan dipengaruhi oleh stadium tumor serta derajat gangguan fungsi hati</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Pada stadium awal, penyakit sering kali bersifat asimtomatik, sedangkan pada stadium lanjut dapat muncul nyeri perut kanan atas, penurunan berat badan, anoreksia, dan tanda dekompensasi hati</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Beberapa pasien juga dapat menunjukkan manifestasi sistemik berupa sindrom paraneoplastik. Variabilitas ini menuntut pendekatan diagnostik yang cermat, terutama pada individu dengan faktor risiko tinggi</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F">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diagnostik HCC bertujuan untuk menegakkan diagnosis secara akurat sekaligus menentukan stadium penyakit</w:t>
      </w:r>
      <w:r w:rsidDel="00000000" w:rsidR="00000000" w:rsidRPr="00000000">
        <w:rPr>
          <w:rFonts w:ascii="Times New Roman" w:cs="Times New Roman" w:eastAsia="Times New Roman" w:hAnsi="Times New Roman"/>
          <w:sz w:val="24"/>
          <w:szCs w:val="24"/>
          <w:vertAlign w:val="superscript"/>
          <w:rtl w:val="0"/>
        </w:rPr>
        <w:t xml:space="preserve">2,12</w:t>
      </w:r>
      <w:r w:rsidDel="00000000" w:rsidR="00000000" w:rsidRPr="00000000">
        <w:rPr>
          <w:rFonts w:ascii="Times New Roman" w:cs="Times New Roman" w:eastAsia="Times New Roman" w:hAnsi="Times New Roman"/>
          <w:sz w:val="24"/>
          <w:szCs w:val="24"/>
          <w:rtl w:val="0"/>
        </w:rPr>
        <w:t xml:space="preserve">. Modalitas pencitraan dengan teknik multiphasic imaging berperan penting dalam mengidentifikasi karakteristik vaskular tumor yang khas. Pada populasi berisiko tinggi, temuan radiologis tertentu dapat menjadi dasar diagnosis tanpa konfirmasi histopatologis</w:t>
      </w:r>
      <w:r w:rsidDel="00000000" w:rsidR="00000000" w:rsidRPr="00000000">
        <w:rPr>
          <w:rFonts w:ascii="Times New Roman" w:cs="Times New Roman" w:eastAsia="Times New Roman" w:hAnsi="Times New Roman"/>
          <w:sz w:val="24"/>
          <w:szCs w:val="24"/>
          <w:vertAlign w:val="superscript"/>
          <w:rtl w:val="0"/>
        </w:rPr>
        <w:t xml:space="preserve">9,12</w:t>
      </w:r>
      <w:r w:rsidDel="00000000" w:rsidR="00000000" w:rsidRPr="00000000">
        <w:rPr>
          <w:rFonts w:ascii="Times New Roman" w:cs="Times New Roman" w:eastAsia="Times New Roman" w:hAnsi="Times New Roman"/>
          <w:sz w:val="24"/>
          <w:szCs w:val="24"/>
          <w:rtl w:val="0"/>
        </w:rPr>
        <w:t xml:space="preserve">. Evaluasi fungsi hati dan kondisi klinis pasien merupakan bagian integral dari proses ini, karena sangat memengaruhi pilihan terapi</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0">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HCC memerlukan pendekatan individual yang mempertimbangkan stadium penyakit, fungsi hati, dan kondisi umum pasien</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Terapi kuratif hanya dapat diterapkan pada sebagian kecil pasien yang terdiagnosis pada stadium awal, sedangkan pada stadium lanjut terapi bersifat paliatif dan bertujuan memperlambat progresivitas penyakit serta mempertahankan kualitas hidup. Pendekatan multidisiplin menjadi penting untuk memastikan pemilihan strategi terapi yang optimal</w:t>
      </w:r>
      <w:r w:rsidDel="00000000" w:rsidR="00000000" w:rsidRPr="00000000">
        <w:rPr>
          <w:rFonts w:ascii="Times New Roman" w:cs="Times New Roman" w:eastAsia="Times New Roman" w:hAnsi="Times New Roman"/>
          <w:sz w:val="24"/>
          <w:szCs w:val="24"/>
          <w:vertAlign w:val="superscript"/>
          <w:rtl w:val="0"/>
        </w:rPr>
        <w:t xml:space="preserve">4,5,8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Fonts w:ascii="Times New Roman" w:cs="Times New Roman" w:eastAsia="Times New Roman" w:hAnsi="Times New Roman"/>
          <w:sz w:val="24"/>
          <w:szCs w:val="24"/>
          <w:rtl w:val="0"/>
        </w:rPr>
        <w:br w:type="textWrapping"/>
        <w:t xml:space="preserve">Hepatocellular carcinoma merupakan keganasan hati primer dengan perjalanan penyakit yang kompleks dan prognosis yang sering kali kurang baik akibat keterlambatan diagnosis. Pemahaman yang komprehensif mengenai patogenesis, manifestasi klinis, serta prinsip diagnostik dan penatalaksanaan sangat penting dalam praktik kedokteran. Melalui pendekatan berbasis kajian literatur dan sintesis konseptual yang sistematis, diharapkan artikel ini dapat mendukung pengambilan keputusan klinis yang rasional dan meningkatkan kualitas penatalaksanaan pasien dengan hepatocellular carcinoma.</w:t>
      </w:r>
    </w:p>
    <w:p w:rsidR="00000000" w:rsidDel="00000000" w:rsidP="00000000" w:rsidRDefault="00000000" w:rsidRPr="00000000" w14:paraId="00000012">
      <w:pPr>
        <w:spacing w:after="240" w:before="240" w:lineRule="auto"/>
        <w:ind w:right="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3">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Ferlay J., Soerjomataram I, Dikshit R, Eser S, Mathers C, Rebelo M, Parkin D, Forman D, Bray F. (2015). Cancer incidence and mortality worldwide: sources, methods and major patterns in GLOBOCAN 2012. Int J Cancer;136(5):E359-86</w:t>
      </w:r>
    </w:p>
    <w:p w:rsidR="00000000" w:rsidDel="00000000" w:rsidP="00000000" w:rsidRDefault="00000000" w:rsidRPr="00000000" w14:paraId="0000001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Hasan Irsan &amp; Loho Imelda M. (2017). Konsesnsus Nasional Penatalaksanaan Karsinoma Sel Hati. Jakarta; Perhimpunan Peneliti Hati Indonesia</w:t>
      </w:r>
    </w:p>
    <w:p w:rsidR="00000000" w:rsidDel="00000000" w:rsidP="00000000" w:rsidRDefault="00000000" w:rsidRPr="00000000" w14:paraId="0000001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Md Radzi, A. B., &amp; Tan, S. S. (2018). A case report of metastatic hepatocellular carcinoma in the mandible and coracoid process. Medicine (United States), 97(4).</w:t>
      </w:r>
      <w:hyperlink r:id="rId6">
        <w:r w:rsidDel="00000000" w:rsidR="00000000" w:rsidRPr="00000000">
          <w:rPr>
            <w:rFonts w:ascii="Times New Roman" w:cs="Times New Roman" w:eastAsia="Times New Roman" w:hAnsi="Times New Roman"/>
            <w:sz w:val="24"/>
            <w:szCs w:val="24"/>
            <w:rtl w:val="0"/>
          </w:rPr>
          <w:t xml:space="preserve"> </w:t>
        </w:r>
      </w:hyperlink>
      <w:hyperlink r:id="rId7">
        <w:r w:rsidDel="00000000" w:rsidR="00000000" w:rsidRPr="00000000">
          <w:rPr>
            <w:rFonts w:ascii="Times New Roman" w:cs="Times New Roman" w:eastAsia="Times New Roman" w:hAnsi="Times New Roman"/>
            <w:color w:val="1155cc"/>
            <w:sz w:val="24"/>
            <w:szCs w:val="24"/>
            <w:u w:val="single"/>
            <w:rtl w:val="0"/>
          </w:rPr>
          <w:t xml:space="preserve">https://doi.org/10.1097/MD.0000000000008884</w:t>
        </w:r>
      </w:hyperlink>
      <w:r w:rsidDel="00000000" w:rsidR="00000000" w:rsidRPr="00000000">
        <w:rPr>
          <w:rtl w:val="0"/>
        </w:rPr>
      </w:r>
    </w:p>
    <w:p w:rsidR="00000000" w:rsidDel="00000000" w:rsidP="00000000" w:rsidRDefault="00000000" w:rsidRPr="00000000" w14:paraId="00000016">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Asafo-Agyei KO, Samant H. (2023). Hepatocellular Carcinoma. In: StatPearls [Internet]. Treasure Island (FL): StatPearls Publishing; 2024 Jan-. Available from:</w:t>
      </w:r>
      <w:hyperlink r:id="rId8">
        <w:r w:rsidDel="00000000" w:rsidR="00000000" w:rsidRPr="00000000">
          <w:rPr>
            <w:rFonts w:ascii="Times New Roman" w:cs="Times New Roman" w:eastAsia="Times New Roman" w:hAnsi="Times New Roman"/>
            <w:sz w:val="24"/>
            <w:szCs w:val="24"/>
            <w:rtl w:val="0"/>
          </w:rPr>
          <w:t xml:space="preserve"> </w:t>
        </w:r>
      </w:hyperlink>
      <w:hyperlink r:id="rId9">
        <w:r w:rsidDel="00000000" w:rsidR="00000000" w:rsidRPr="00000000">
          <w:rPr>
            <w:rFonts w:ascii="Times New Roman" w:cs="Times New Roman" w:eastAsia="Times New Roman" w:hAnsi="Times New Roman"/>
            <w:color w:val="1155cc"/>
            <w:sz w:val="24"/>
            <w:szCs w:val="24"/>
            <w:u w:val="single"/>
            <w:rtl w:val="0"/>
          </w:rPr>
          <w:t xml:space="preserve">https://www.ncbi.nlm.nih.gov/books/NBK559177/</w:t>
        </w:r>
      </w:hyperlink>
      <w:r w:rsidDel="00000000" w:rsidR="00000000" w:rsidRPr="00000000">
        <w:rPr>
          <w:rtl w:val="0"/>
        </w:rPr>
      </w:r>
    </w:p>
    <w:p w:rsidR="00000000" w:rsidDel="00000000" w:rsidP="00000000" w:rsidRDefault="00000000" w:rsidRPr="00000000" w14:paraId="00000017">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Lee S.S., Zhang H, Cao H, Kodali S, Kuban J.D., Koay E.J., &amp; Avritscher R, Kaseb A.O. (2022). Hepatocellular carcinoma. Kantarjian H.M., &amp; Wolff R.A., &amp; Rieber A.G.(Eds.), The MD Anderson Manual of Medical Oncology, 4e. McGraw Hill Education.</w:t>
      </w:r>
      <w:hyperlink r:id="rId10">
        <w:r w:rsidDel="00000000" w:rsidR="00000000" w:rsidRPr="00000000">
          <w:rPr>
            <w:rFonts w:ascii="Times New Roman" w:cs="Times New Roman" w:eastAsia="Times New Roman" w:hAnsi="Times New Roman"/>
            <w:sz w:val="24"/>
            <w:szCs w:val="24"/>
            <w:rtl w:val="0"/>
          </w:rPr>
          <w:t xml:space="preserve"> </w:t>
        </w:r>
      </w:hyperlink>
      <w:hyperlink r:id="rId11">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https://accessmedicine.mhmedical.com/content.aspx?bookid=3</w:t>
        </w:r>
      </w:hyperlink>
      <w:r w:rsidDel="00000000" w:rsidR="00000000" w:rsidRPr="00000000">
        <w:rPr>
          <w:rFonts w:ascii="Times New Roman" w:cs="Times New Roman" w:eastAsia="Times New Roman" w:hAnsi="Times New Roman"/>
          <w:sz w:val="24"/>
          <w:szCs w:val="24"/>
          <w:rtl w:val="0"/>
        </w:rPr>
        <w:t xml:space="preserve">151&amp;sectionid=264027698</w:t>
      </w:r>
    </w:p>
    <w:p w:rsidR="00000000" w:rsidDel="00000000" w:rsidP="00000000" w:rsidRDefault="00000000" w:rsidRPr="00000000" w14:paraId="00000018">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Abdel-Misih, S. R., &amp; Bloomston, M. (2010). Liver anatomy. The Surgical clinics of North America, 90(4), </w:t>
      </w:r>
      <w:hyperlink r:id="rId12">
        <w:r w:rsidDel="00000000" w:rsidR="00000000" w:rsidRPr="00000000">
          <w:rPr>
            <w:rFonts w:ascii="Times New Roman" w:cs="Times New Roman" w:eastAsia="Times New Roman" w:hAnsi="Times New Roman"/>
            <w:color w:val="1155cc"/>
            <w:sz w:val="24"/>
            <w:szCs w:val="24"/>
            <w:u w:val="single"/>
            <w:rtl w:val="0"/>
          </w:rPr>
          <w:t xml:space="preserve">https://doi.org/10.1016/j.suc.2010.04.017</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643–653.</w:t>
      </w:r>
    </w:p>
    <w:p w:rsidR="00000000" w:rsidDel="00000000" w:rsidP="00000000" w:rsidRDefault="00000000" w:rsidRPr="00000000" w14:paraId="0000001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Harding J.J, Abu-Zeinah G., Chou JF, Owen DH, Ly M, Lowery MA, Capanu M, Do R, Kemeny NE, O'Reilly EM, Saltz LB, Abou-Alfa GK. (2018). Frequency, Morbidity, and Mortality of Bone Metastases in Advanced Hepatocellular Carcinoma. J Natl Compr Canc Netw. Jan;16(1):50-58.</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Atay, A. E., Esen, B., &amp; Gokmen, E. S. (2017). Oxidative Stress and Gastrointestinal System Cancers. Gastrointestinal Tissue: Oxidative Stress and Dietary Antioxidants, 29–51.</w:t>
      </w:r>
      <w:hyperlink r:id="rId13">
        <w:r w:rsidDel="00000000" w:rsidR="00000000" w:rsidRPr="00000000">
          <w:rPr>
            <w:rFonts w:ascii="Times New Roman" w:cs="Times New Roman" w:eastAsia="Times New Roman" w:hAnsi="Times New Roman"/>
            <w:sz w:val="24"/>
            <w:szCs w:val="24"/>
            <w:rtl w:val="0"/>
          </w:rPr>
          <w:t xml:space="preserve"> </w:t>
        </w:r>
      </w:hyperlink>
      <w:hyperlink r:id="rId14">
        <w:r w:rsidDel="00000000" w:rsidR="00000000" w:rsidRPr="00000000">
          <w:rPr>
            <w:rFonts w:ascii="Times New Roman" w:cs="Times New Roman" w:eastAsia="Times New Roman" w:hAnsi="Times New Roman"/>
            <w:color w:val="1155cc"/>
            <w:sz w:val="24"/>
            <w:szCs w:val="24"/>
            <w:u w:val="single"/>
            <w:rtl w:val="0"/>
          </w:rPr>
          <w:t xml:space="preserve">https://doi.org/10.1016/B978-0-12</w:t>
        </w:r>
      </w:hyperlink>
      <w:r w:rsidDel="00000000" w:rsidR="00000000" w:rsidRPr="00000000">
        <w:rPr>
          <w:rFonts w:ascii="Times New Roman" w:cs="Times New Roman" w:eastAsia="Times New Roman" w:hAnsi="Times New Roman"/>
          <w:sz w:val="24"/>
          <w:szCs w:val="24"/>
          <w:rtl w:val="0"/>
        </w:rPr>
        <w:t xml:space="preserve">805377-5.00003-5</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Chen C.J., Wang L.Y., Lu S.N., Wu M.H., You S.L., Zhang Y.J., Wang L.W., Santella R.M. (2017). Elevated aflatoxin exposure and increased risk of hepatocellular carcinoma. Hepatology.Jul;24(1):38-42</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Farazi, P. A., &amp; DePinho, R. A. (2006). Hepatocellular carcinoma pathogenesis: from genes to environment. In Nature Publishing Group (Vol. 6, pp. 674-683).</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Vernon H, Wehrle CJ, Alia VSK, dkk. Anatomi, Abdomen, dan Pelvis: Hati. [Diperbarui 26 November 2022]. Dalam: StatPearls [Internet]. Treasure Island (FL): StatPearls Publishing; 2024 Jan-. Tersedia dari:</w:t>
      </w:r>
      <w:hyperlink r:id="rId15">
        <w:r w:rsidDel="00000000" w:rsidR="00000000" w:rsidRPr="00000000">
          <w:rPr>
            <w:rFonts w:ascii="Times New Roman" w:cs="Times New Roman" w:eastAsia="Times New Roman" w:hAnsi="Times New Roman"/>
            <w:sz w:val="24"/>
            <w:szCs w:val="24"/>
            <w:rtl w:val="0"/>
          </w:rPr>
          <w:t xml:space="preserve"> </w:t>
        </w:r>
      </w:hyperlink>
      <w:hyperlink r:id="rId16">
        <w:r w:rsidDel="00000000" w:rsidR="00000000" w:rsidRPr="00000000">
          <w:rPr>
            <w:rFonts w:ascii="Times New Roman" w:cs="Times New Roman" w:eastAsia="Times New Roman" w:hAnsi="Times New Roman"/>
            <w:color w:val="1155cc"/>
            <w:sz w:val="24"/>
            <w:szCs w:val="24"/>
            <w:u w:val="single"/>
            <w:rtl w:val="0"/>
          </w:rPr>
          <w:t xml:space="preserve">https://www</w:t>
        </w:r>
      </w:hyperlink>
      <w:r w:rsidDel="00000000" w:rsidR="00000000" w:rsidRPr="00000000">
        <w:rPr>
          <w:rFonts w:ascii="Times New Roman" w:cs="Times New Roman" w:eastAsia="Times New Roman" w:hAnsi="Times New Roman"/>
          <w:sz w:val="24"/>
          <w:szCs w:val="24"/>
          <w:rtl w:val="0"/>
        </w:rPr>
        <w:t xml:space="preserve">ncbi-nlm-nihgov.translate.goog/books/NBK500014/?_x_tr_sl=en&amp;_x_tr_tl=id&amp;</w:t>
      </w:r>
      <w:r w:rsidDel="00000000" w:rsidR="00000000" w:rsidRPr="00000000">
        <w:rPr>
          <w:rFonts w:ascii="Times New Roman" w:cs="Times New Roman" w:eastAsia="Times New Roman" w:hAnsi="Times New Roman"/>
          <w:i w:val="1"/>
          <w:iCs w:val="1"/>
          <w:sz w:val="24"/>
          <w:szCs w:val="24"/>
          <w:rtl w:val="0"/>
        </w:rPr>
        <w:t xml:space="preserve">x_tr</w:t>
      </w:r>
      <w:r w:rsidDel="00000000" w:rsidR="00000000" w:rsidRPr="00000000">
        <w:rPr>
          <w:rFonts w:ascii="Times New Roman" w:cs="Times New Roman" w:eastAsia="Times New Roman" w:hAnsi="Times New Roman"/>
          <w:sz w:val="24"/>
          <w:szCs w:val="24"/>
          <w:rtl w:val="0"/>
        </w:rPr>
        <w:t xml:space="preserve">hl=id&amp;_x_tr_pto=tc</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Llovet J.M. (2022). Tumors of the liver and biliary tree. Loscalzo J, &amp; Fauci A, &amp; Kasper D, &amp; Hauser S, &amp; Longo D, &amp; Jameson J(Eds.), Harrison's Principles of Internal Medicine, 21e. McGraw-Hill Education.</w:t>
      </w:r>
      <w:hyperlink r:id="rId17">
        <w:r w:rsidDel="00000000" w:rsidR="00000000" w:rsidRPr="00000000">
          <w:rPr>
            <w:rFonts w:ascii="Times New Roman" w:cs="Times New Roman" w:eastAsia="Times New Roman" w:hAnsi="Times New Roman"/>
            <w:sz w:val="24"/>
            <w:szCs w:val="24"/>
            <w:rtl w:val="0"/>
          </w:rPr>
          <w:t xml:space="preserve"> </w:t>
        </w:r>
      </w:hyperlink>
      <w:hyperlink r:id="rId18">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https://accessmedicine.mhmedical.com/content.aspx?bookid=3</w:t>
        </w:r>
      </w:hyperlink>
      <w:r w:rsidDel="00000000" w:rsidR="00000000" w:rsidRPr="00000000">
        <w:rPr>
          <w:rFonts w:ascii="Times New Roman" w:cs="Times New Roman" w:eastAsia="Times New Roman" w:hAnsi="Times New Roman"/>
          <w:sz w:val="24"/>
          <w:szCs w:val="24"/>
          <w:rtl w:val="0"/>
        </w:rPr>
        <w:t xml:space="preserve">095&amp;sectionid=263546991</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Friedman L.S. (2024). Hepatocellular carcinoma. Papadakis M.A., &amp; McPhee S.J., &amp; Rabow M.W., &amp; McQuaid K.R., &amp; Gandhi M(Eds.), Current Medical Diagnosis &amp; Treatment 2024. McGraw-Hill Education.</w:t>
      </w:r>
      <w:hyperlink r:id="rId19">
        <w:r w:rsidDel="00000000" w:rsidR="00000000" w:rsidRPr="00000000">
          <w:rPr>
            <w:rFonts w:ascii="Times New Roman" w:cs="Times New Roman" w:eastAsia="Times New Roman" w:hAnsi="Times New Roman"/>
            <w:sz w:val="24"/>
            <w:szCs w:val="24"/>
            <w:rtl w:val="0"/>
          </w:rPr>
          <w:t xml:space="preserve"> </w:t>
        </w:r>
      </w:hyperlink>
      <w:hyperlink r:id="rId20">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https://accessmedicine.mhmedical.com/content.aspx?bookid=3</w:t>
        </w:r>
      </w:hyperlink>
      <w:r w:rsidDel="00000000" w:rsidR="00000000" w:rsidRPr="00000000">
        <w:rPr>
          <w:rFonts w:ascii="Times New Roman" w:cs="Times New Roman" w:eastAsia="Times New Roman" w:hAnsi="Times New Roman"/>
          <w:sz w:val="24"/>
          <w:szCs w:val="24"/>
          <w:rtl w:val="0"/>
        </w:rPr>
        <w:t xml:space="preserve">343&amp;sectionid=280098162</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Jemal A, Ward E, Johnson C, Cronin K, Ma J, Ryerson B, Mariotto A, Lake AJ, Wilson R, Sherman R, Anderson R, Henley S, Kohler B, Penberthy L, Feuer E, Weir H. (2017). Annual Report to the Nation on the Status of Cancer, 1975-2014, Featuring Survival. J Natl Cancer Inst. Sep 01;109(9).</w:t>
      </w:r>
    </w:p>
    <w:p w:rsidR="00000000" w:rsidDel="00000000" w:rsidP="00000000" w:rsidRDefault="00000000" w:rsidRPr="00000000" w14:paraId="00000021">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Bоbоrаhimоv Vаlishеr Оdilоviсh. (2023). CLINICAL ANATOMY OF THE LIVER. Proceedings of Scientific Conference on Multidisciplinary Studies, 2(12), 306–311. Retrieved from </w:t>
      </w:r>
      <w:hyperlink r:id="rId21">
        <w:r w:rsidDel="00000000" w:rsidR="00000000" w:rsidRPr="00000000">
          <w:rPr>
            <w:rFonts w:ascii="Times New Roman" w:cs="Times New Roman" w:eastAsia="Times New Roman" w:hAnsi="Times New Roman"/>
            <w:color w:val="1155cc"/>
            <w:sz w:val="24"/>
            <w:szCs w:val="24"/>
            <w:u w:val="single"/>
            <w:rtl w:val="0"/>
          </w:rPr>
          <w:t xml:space="preserve">https://econferenceseries.com/index.php/scms/article/view/3197</w:t>
        </w:r>
      </w:hyperlink>
      <w:r w:rsidDel="00000000" w:rsidR="00000000" w:rsidRPr="00000000">
        <w:rPr>
          <w:rtl w:val="0"/>
        </w:rPr>
      </w:r>
    </w:p>
    <w:p w:rsidR="00000000" w:rsidDel="00000000" w:rsidP="00000000" w:rsidRDefault="00000000" w:rsidRPr="00000000" w14:paraId="00000022">
      <w:pPr>
        <w:ind w:right="0"/>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3">
      <w:pPr>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374900"/>
            <wp:effectExtent b="0" l="0" r="0" t="0"/>
            <wp:docPr id="2" name="image2.png"/>
            <a:graphic>
              <a:graphicData uri="http://schemas.openxmlformats.org/drawingml/2006/picture">
                <pic:pic>
                  <pic:nvPicPr>
                    <pic:cNvPr id="0" name="image2.png"/>
                    <pic:cNvPicPr preferRelativeResize="0"/>
                  </pic:nvPicPr>
                  <pic:blipFill>
                    <a:blip r:embed="rId22"/>
                    <a:srcRect b="0" l="0" r="0" t="0"/>
                    <a:stretch>
                      <a:fillRect/>
                    </a:stretch>
                  </pic:blipFill>
                  <pic:spPr>
                    <a:xfrm>
                      <a:off x="0" y="0"/>
                      <a:ext cx="5731200" cy="2374900"/>
                    </a:xfrm>
                    <a:prstGeom prst="rect"/>
                    <a:ln/>
                  </pic:spPr>
                </pic:pic>
              </a:graphicData>
            </a:graphic>
          </wp:inline>
        </w:drawing>
      </w:r>
      <w:r w:rsidDel="00000000" w:rsidR="00000000" w:rsidRPr="00000000">
        <w:rPr>
          <w:rtl w:val="0"/>
        </w:rPr>
      </w:r>
    </w:p>
    <w:p w:rsidR="00000000" w:rsidDel="00000000" w:rsidP="00000000" w:rsidRDefault="00000000" w:rsidRPr="00000000" w14:paraId="00000024">
      <w:pPr>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797300"/>
            <wp:effectExtent b="0" l="0" r="0" t="0"/>
            <wp:docPr id="1" name="image1.png"/>
            <a:graphic>
              <a:graphicData uri="http://schemas.openxmlformats.org/drawingml/2006/picture">
                <pic:pic>
                  <pic:nvPicPr>
                    <pic:cNvPr id="0" name="image1.png"/>
                    <pic:cNvPicPr preferRelativeResize="0"/>
                  </pic:nvPicPr>
                  <pic:blipFill>
                    <a:blip r:embed="rId23"/>
                    <a:srcRect b="0" l="0" r="0" t="0"/>
                    <a:stretch>
                      <a:fillRect/>
                    </a:stretch>
                  </pic:blipFill>
                  <pic:spPr>
                    <a:xfrm>
                      <a:off x="0" y="0"/>
                      <a:ext cx="5731200" cy="37973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accessmedicine.mhmedical.com/content.aspx?bookid=3" TargetMode="External"/><Relationship Id="rId11" Type="http://schemas.openxmlformats.org/officeDocument/2006/relationships/hyperlink" Target="https://accessmedicine.mhmedical.com/content.aspx?bookid=3" TargetMode="External"/><Relationship Id="rId22" Type="http://schemas.openxmlformats.org/officeDocument/2006/relationships/image" Target="media/image2.png"/><Relationship Id="rId10" Type="http://schemas.openxmlformats.org/officeDocument/2006/relationships/hyperlink" Target="https://accessmedicine.mhmedical.com/content.aspx?bookid=3" TargetMode="External"/><Relationship Id="rId21" Type="http://schemas.openxmlformats.org/officeDocument/2006/relationships/hyperlink" Target="https://econferenceseries.com/index.php/scms/article/view/3197" TargetMode="External"/><Relationship Id="rId13" Type="http://schemas.openxmlformats.org/officeDocument/2006/relationships/hyperlink" Target="https://doi.org/10.1016/B978-0-12" TargetMode="External"/><Relationship Id="rId12" Type="http://schemas.openxmlformats.org/officeDocument/2006/relationships/hyperlink" Target="https://doi.org/10.1016/j.suc.2010.04.017" TargetMode="External"/><Relationship Id="rId23"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ncbi.nlm.nih.gov/books/NBK559177/" TargetMode="External"/><Relationship Id="rId15" Type="http://schemas.openxmlformats.org/officeDocument/2006/relationships/hyperlink" Target="https://www/" TargetMode="External"/><Relationship Id="rId14" Type="http://schemas.openxmlformats.org/officeDocument/2006/relationships/hyperlink" Target="https://doi.org/10.1016/B978-0-12" TargetMode="External"/><Relationship Id="rId17" Type="http://schemas.openxmlformats.org/officeDocument/2006/relationships/hyperlink" Target="https://accessmedicine.mhmedical.com/content.aspx?bookid=3" TargetMode="External"/><Relationship Id="rId16" Type="http://schemas.openxmlformats.org/officeDocument/2006/relationships/hyperlink" Target="https://www/" TargetMode="External"/><Relationship Id="rId5" Type="http://schemas.openxmlformats.org/officeDocument/2006/relationships/styles" Target="styles.xml"/><Relationship Id="rId19" Type="http://schemas.openxmlformats.org/officeDocument/2006/relationships/hyperlink" Target="https://accessmedicine.mhmedical.com/content.aspx?bookid=3" TargetMode="External"/><Relationship Id="rId6" Type="http://schemas.openxmlformats.org/officeDocument/2006/relationships/hyperlink" Target="https://doi.org/10.1097/MD.0000000000008884" TargetMode="External"/><Relationship Id="rId18" Type="http://schemas.openxmlformats.org/officeDocument/2006/relationships/hyperlink" Target="https://accessmedicine.mhmedical.com/content.aspx?bookid=3" TargetMode="External"/><Relationship Id="rId7" Type="http://schemas.openxmlformats.org/officeDocument/2006/relationships/hyperlink" Target="https://doi.org/10.1097/MD.0000000000008884" TargetMode="External"/><Relationship Id="rId8" Type="http://schemas.openxmlformats.org/officeDocument/2006/relationships/hyperlink" Target="https://www.ncbi.nlm.nih.gov/books/NBK55917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