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zgbm3d4y9rat" w:id="0"/>
      <w:bookmarkEnd w:id="0"/>
      <w:r w:rsidDel="00000000" w:rsidR="00000000" w:rsidRPr="00000000">
        <w:rPr>
          <w:rFonts w:ascii="Times New Roman" w:cs="Times New Roman" w:eastAsia="Times New Roman" w:hAnsi="Times New Roman"/>
          <w:b w:val="1"/>
          <w:bCs w:val="1"/>
          <w:sz w:val="24"/>
          <w:szCs w:val="24"/>
          <w:rtl w:val="0"/>
        </w:rPr>
        <w:t xml:space="preserve">Gout Artritis Akut dan Hiperurisemia: Integrasi Patofisiologi, Diagnosis, dan Strategi Tata Laksana</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Yuswanto Setyawan</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s60gij1hgu87"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Gout merupakan salah satu bentuk artritis inflamasi yang paling sering dijumpai dan berkaitan erat dengan hiperurisemia sebagai dasar patofisiologinya. Kondisi ini terjadi akibat deposisi kristal monosodium urat pada jaringan sendi dan periartikular, yang memicu respons inflamasi akut maupun kronik. Prevalensi gout terus meningkat secara global seiring perubahan pola hidup, peningkatan usia harapan hidup, serta tingginya angka penyakit metabolik dan kardiovaskular. Meskipun manifestasi klinis gout artritis akut sering bersifat khas, tantangan dalam praktik klinis masih mencakup keterlambatan diagnosis, interpretasi laboratorium yang kurang tepat, serta pengelolaan hiperurisemia jangka panjang yang belum optimal. Artikel ini membahas secara komprehensif keterkaitan antara mekanisme patofisiologi, pendekatan diagnosis, dan strategi tata laksana gout artritis akut serta hiperurisemia. Pembahasan mencakup proses metabolisme asam urat, mekanisme inflamasi akibat kristal monosodium urat, spektrum manifestasi klinis, serta peran pemeriksaan penunjang dalam menegakkan diagnosis. Selain itu, prinsip tata laksana serangan akut dan pengelolaan hiperurisemia jangka panjang dibahas secara terintegrasi, dengan penekanan pada pemilihan terapi berbasis bukti dan individualisasi pengobatan. Perubahan gaya hidup sebagai bagian dari strategi nonfarmakologis juga dikaji mengingat perannya dalam menurunkan risiko kekambuhan dan komplikasi. Integrasi pemahaman patofisiologi dengan pendekatan klinis yang tepat diharapkan dapat meningkatkan akurasi diagnosis, efektivitas terapi, serta luaran jangka panjang pada gout, sehingga penyakit ini tidak hanya dipandang sebagai serangan artritis episodik, tetapi sebagai kondisi kronik yang memerlukan penatalaksanaan berkesinambungan.</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gout artritis akut, hiperurisemia, monosodium urat, diagnosis, tata laksana</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3bofoa3kpa09"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Gout merupakan salah satu bentuk artritis inflamasi yang paling sering dijumpai dalam praktik klinis dan berkembang sebagai konsekuensi dari hiperurisemia kronik. Kondisi ini ditandai oleh deposisi kristal monosodium urat pada jaringan sendi dan periartikular, yang selanjutnya memicu respons inflamasi akut maupun kronik¹</w:t>
      </w:r>
      <w:r w:rsidDel="00000000" w:rsidR="00000000" w:rsidRPr="00000000">
        <w:rPr>
          <w:rFonts w:ascii="Times New Roman" w:cs="Times New Roman" w:eastAsia="Times New Roman" w:hAnsi="Times New Roman"/>
          <w:sz w:val="24"/>
          <w:szCs w:val="24"/>
          <w:vertAlign w:val="superscript"/>
          <w:rtl w:val="0"/>
        </w:rPr>
        <w:t xml:space="preserve">,</w:t>
      </w:r>
      <w:r w:rsidDel="00000000" w:rsidR="00000000" w:rsidRPr="00000000">
        <w:rPr>
          <w:rFonts w:ascii="Times New Roman" w:cs="Times New Roman" w:eastAsia="Times New Roman" w:hAnsi="Times New Roman"/>
          <w:sz w:val="24"/>
          <w:szCs w:val="24"/>
          <w:rtl w:val="0"/>
        </w:rPr>
        <w:t xml:space="preserve">². Peningkatan prevalensi gout secara global mencerminkan perubahan pola hidup modern, termasuk peningkatan konsumsi makanan tinggi purin dan fruktosa, prevalensi obesitas yang semakin tinggi, serta meningkatnya angka penyakit metabolik dan kardiovaskular³</w:t>
      </w:r>
      <w:r w:rsidDel="00000000" w:rsidR="00000000" w:rsidRPr="00000000">
        <w:rPr>
          <w:rFonts w:ascii="Times New Roman" w:cs="Times New Roman" w:eastAsia="Times New Roman" w:hAnsi="Times New Roman"/>
          <w:sz w:val="24"/>
          <w:szCs w:val="24"/>
          <w:vertAlign w:val="superscript"/>
          <w:rtl w:val="0"/>
        </w:rPr>
        <w:t xml:space="preserve">,</w:t>
      </w:r>
      <w:r w:rsidDel="00000000" w:rsidR="00000000" w:rsidRPr="00000000">
        <w:rPr>
          <w:rFonts w:ascii="Times New Roman" w:cs="Times New Roman" w:eastAsia="Times New Roman" w:hAnsi="Times New Roman"/>
          <w:sz w:val="24"/>
          <w:szCs w:val="24"/>
          <w:rtl w:val="0"/>
        </w:rPr>
        <w:t xml:space="preserve">⁴.</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epidemiologis, gout lebih sering ditemukan pada laki-laki usia paruh baya hingga lanjut, sedangkan pada perempuan insidensi meningkat setelah menopause seiring berkurangnya efek protektif estrogen terhadap ekskresi asam urat⁵. Selain faktor usia dan jenis kelamin, berbagai kondisi komorbid seperti hipertensi, diabetes melitus, penyakit ginjal kronik, dan gagal jantung kongestif turut berperan dalam meningkatkan risiko hiperurisemia dan gout⁶. Hal ini menegaskan bahwa gout tidak dapat dipandang semata sebagai penyakit sendi, melainkan sebagai manifestasi sistemik dari gangguan metabolik yang kompleks.</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Meskipun gambaran klinis gout artritis akut sering kali khas, tantangan dalam praktik sehari-hari masih sering dijumpai. Fluktuasi kadar asam urat serum pada fase akut, keterbatasan akses terhadap pemeriksaan cairan sinovial, serta variasi presentasi klinis dapat menyebabkan kesalahan diagnosis dan keterlambatan terapi⁷. Akibatnya, banyak penderita mengalami kekambuhan berulang yang berujung pada progresivitas penyakit, pembentukan tofus, serta komplikasi pada sistem muskuloskeletal dan ginjal.</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Lebih lanjut, pengelolaan hiperurisemia jangka panjang sering kali belum dilakukan secara optimal. Terapi penurun kadar asam urat kerap tidak dititrasi hingga mencapai target, dihentikan terlalu dini, atau tidak disertai dengan edukasi perubahan gaya hidup yang memadai⁸. Oleh karena itu, pemahaman yang terintegrasi mengenai patofisiologi, diagnosis, dan tata laksana gout artritis akut serta hiperurisemia menjadi krusial untuk meningkatkan luaran klinis dan kualitas hidup penderita</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vtp4rrvtmpyv"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literature review naratif. Penelusuran pustaka dilakukan terhadap buku ajar kedokteran penyakit dalam dan reumatologi, pedoman praktik klinis nasional dan internasional, serta artikel ilmiah yang membahas gout artritis akut dan hiperurisemia. Literatur dipilih berdasarkan relevansi topik, kredibilitas sumber, dan kontribusinya terhadap pemahaman patofisiologi, pendekatan diagnostik, serta strategi tata laksana. Data dari laporan digunakan sebagai dasar kerangka pembahasan tanpa disajikan dalam format laporan kasus, kemudian dianalisis secara naratif dan diintegrasikan dengan tinjauan pustaka untuk menghasilkan pembahasan konseptual dan klinis yang koheren.</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sgx8ox4zmo6c"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Asam urat merupakan produk akhir metabolisme purin pada manusia. Tidak adanya enzim urikase menyebabkan asam urat diekskresikan dalam bentuk yang relatif kurang larut, sehingga mudah terakumulasi apabila terjadi ketidakseimbangan antara produksi dan ekskresi¹⁰. Pada sebagian besar kasus, hiperurisemia lebih sering disebabkan oleh penurunan ekskresi ginjal dibandingkan peningkatan produksi, meskipun kedua mekanisme tersebut dapat terjadi secara bersamaan⁴.</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Hiperurisemia yang persisten menciptakan kondisi yang mendukung pembentukan dan deposisi kristal monosodium urat, terutama pada jaringan dengan suhu relatif lebih rendah seperti sendi perifer. Kristal ini berinteraksi dengan sistem imun bawaan melalui aktivasi inflammasom NLRP3, yang memicu pelepasan sitokin proinflamasi, terutama interleukin-1β²</w:t>
      </w:r>
      <w:r w:rsidDel="00000000" w:rsidR="00000000" w:rsidRPr="00000000">
        <w:rPr>
          <w:rFonts w:ascii="Times New Roman" w:cs="Times New Roman" w:eastAsia="Times New Roman" w:hAnsi="Times New Roman"/>
          <w:sz w:val="24"/>
          <w:szCs w:val="24"/>
          <w:vertAlign w:val="superscript"/>
          <w:rtl w:val="0"/>
        </w:rPr>
        <w:t xml:space="preserve">,</w:t>
      </w:r>
      <w:r w:rsidDel="00000000" w:rsidR="00000000" w:rsidRPr="00000000">
        <w:rPr>
          <w:rFonts w:ascii="Times New Roman" w:cs="Times New Roman" w:eastAsia="Times New Roman" w:hAnsi="Times New Roman"/>
          <w:sz w:val="24"/>
          <w:szCs w:val="24"/>
          <w:rtl w:val="0"/>
        </w:rPr>
        <w:t xml:space="preserve">¹¹. Proses ini diikuti oleh rekrutmen neutrofil, fagositosis kristal, serta pelepasan mediator inflamasi yang menyebabkan peradangan sinovial akut.</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gout artritis akut ditandai oleh onset mendadak nyeri sendi hebat, sering kali pada malam hari, disertai kemerahan, pembengkakan, dan rasa hangat lokal. Sendi metatarsofalangeal pertama merupakan lokasi yang paling sering terlibat⁵</w:t>
      </w:r>
      <w:r w:rsidDel="00000000" w:rsidR="00000000" w:rsidRPr="00000000">
        <w:rPr>
          <w:rFonts w:ascii="Times New Roman" w:cs="Times New Roman" w:eastAsia="Times New Roman" w:hAnsi="Times New Roman"/>
          <w:sz w:val="24"/>
          <w:szCs w:val="24"/>
          <w:vertAlign w:val="superscript"/>
          <w:rtl w:val="0"/>
        </w:rPr>
        <w:t xml:space="preserve">,</w:t>
      </w:r>
      <w:r w:rsidDel="00000000" w:rsidR="00000000" w:rsidRPr="00000000">
        <w:rPr>
          <w:rFonts w:ascii="Times New Roman" w:cs="Times New Roman" w:eastAsia="Times New Roman" w:hAnsi="Times New Roman"/>
          <w:sz w:val="24"/>
          <w:szCs w:val="24"/>
          <w:rtl w:val="0"/>
        </w:rPr>
        <w:t xml:space="preserve">⁷. Tanpa terapi adekuat, serangan dapat mereda spontan, namun kekambuhan sering terjadi dengan interval yang semakin pendek.</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definitif gout ditegakkan melalui identifikasi kristal monosodium urat pada cairan sinovial menggunakan mikroskop polarisasi¹. Namun, dalam praktik klinis, diagnosis sering mengandalkan kombinasi gambaran klinis, pemeriksaan laboratorium, serta kriteria klasifikasi ACR/EULAR¹². Pemeriksaan pencitraan seperti ultrasonografi dan dual-energy computed tomography berperan sebagai modalitas pendukung pada kasus tertentu¹¹.</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Tata laksana gout artritis akut bertujuan mengendalikan inflamasi dan nyeri secepat mungkin melalui penggunaan antiinflamasi nonsteroid, kolkisin, atau kortikosteroid⁶</w:t>
      </w:r>
      <w:r w:rsidDel="00000000" w:rsidR="00000000" w:rsidRPr="00000000">
        <w:rPr>
          <w:rFonts w:ascii="Times New Roman" w:cs="Times New Roman" w:eastAsia="Times New Roman" w:hAnsi="Times New Roman"/>
          <w:sz w:val="24"/>
          <w:szCs w:val="24"/>
          <w:vertAlign w:val="superscript"/>
          <w:rtl w:val="0"/>
        </w:rPr>
        <w:t xml:space="preserve">,</w:t>
      </w:r>
      <w:r w:rsidDel="00000000" w:rsidR="00000000" w:rsidRPr="00000000">
        <w:rPr>
          <w:rFonts w:ascii="Times New Roman" w:cs="Times New Roman" w:eastAsia="Times New Roman" w:hAnsi="Times New Roman"/>
          <w:sz w:val="24"/>
          <w:szCs w:val="24"/>
          <w:rtl w:val="0"/>
        </w:rPr>
        <w:t xml:space="preserve">¹³. Pengelolaan hiperurisemia jangka panjang ditujukan untuk mempertahankan kadar asam urat di bawah ambang kelarutan guna mencegah pembentukan kristal baru dan komplikasi lanjutan¹⁴. Modifikasi gaya hidup menjadi bagian integral dalam pendekatan komprehensif untuk menurunkan frekuensi kekambuhan dan progresivitas penyakit⁸.</w:t>
      </w:r>
    </w:p>
    <w:p w:rsidR="00000000" w:rsidDel="00000000" w:rsidP="00000000" w:rsidRDefault="00000000" w:rsidRPr="00000000" w14:paraId="0000001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4esoe5hgkvxu"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Gout artritis akut merupakan manifestasi klinis dari hiperurisemia yang mencerminkan gangguan metabolik dan respons inflamasi yang kompleks. Penyakit ini berpotensi berkembang menjadi kondisi kronik dengan komplikasi multisistem apabila tidak ditangani secara optimal. Pendekatan yang terintegrasi antara pemahaman patofisiologi, diagnosis yang akurat, serta tata laksana farmakologis dan nonfarmakologis yang berkesinambungan diperlukan untuk mencapai kontrol penyakit yang optimal dan meningkatkan kualitas hidup penderita.</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8">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Perhimpunan Reumatologi Indonesia. Pedoman diagnosis dan pengelolaan gout. Jakarta: Perhimpunan Reumatologi Indonesia; 2018. p.1–24.</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Fernando A, Rednam M, Gujarathi R, et al. Gout. Treasure Island (FL): StatPearls Publishing; 2023.</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Fauci AS, Jameson JL, Kasper DL, Hauser SL, Longo DL, Loscalzo J. Harrison’s principles of internal medicine. 20th ed. New York: McGraw-Hill Education; 2018.</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Alwi I, Salim S, Hidayat R, et al. Panduan praktik klinis ilmu penyakit dalam. 4th ed. Jakarta: Interna Publishing; 2019.</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Rothschild BM. Gout and pseudogout. Medscape Reference; 2023.</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Reagan M. Diagnosis and treatment of gout arthritis. Open Access Indonesian Journal of Medical Reviews. 2022;1(2):146–152.</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Longo DL, Fauci AS, Jameson JL, Kasper DL, Hauser SL, Loscalzo J. Harrison’s rheumatology. 3rd ed. New York: McGraw-Hill Education; 2013.</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Longo DL, Fauci AS, Jameson JL, Kasper DL, Hauser SL, Loscalzo J. Harrison’s manual of medicine. 18th ed. New York: McGraw-Hill Education; 2013.</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Dalbeth N, Merriman TR, Stamp LK. Gout. Lancet. 2016;388(10055):2039–2052.</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Richette P, Doherty M, Pascual E, et al. 2016 updated EULAR evidence-based recommendations for the management of gout. Annals of the Rheumatic Diseases. 2017;76(1):29–42.</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Neogi T. Gout. New England Journal of Medicine. 2011;364(5):443–452.</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Stamp LK, Dalbeth N. Prevention and treatment of gout. Nature Reviews Rheumatology. 2019;15(2):68–70.</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Bardin T, Richette P. Impact of comorbidities on gout and hyperuricaemia. Best Practice &amp; Research Clinical Rheumatology. 2012;26(2):231–242.</w:t>
      </w:r>
    </w:p>
    <w:p w:rsidR="00000000" w:rsidDel="00000000" w:rsidP="00000000" w:rsidRDefault="00000000" w:rsidRPr="00000000" w14:paraId="00000025">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Khanna D, Fitzgerald JD, Khanna PP, et al. 2012 American College of Rheumatology guidelines for management of gout. Arthritis Care &amp; Research. 2012;64(10):1431–1446.</w:t>
      </w:r>
    </w:p>
    <w:p w:rsidR="00000000" w:rsidDel="00000000" w:rsidP="00000000" w:rsidRDefault="00000000" w:rsidRPr="00000000" w14:paraId="00000026">
      <w:pPr>
        <w:spacing w:after="240" w:before="240" w:lineRule="auto"/>
        <w:ind w:left="0" w:firstLine="0"/>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7">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25700"/>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425700"/>
                    </a:xfrm>
                    <a:prstGeom prst="rect"/>
                    <a:ln/>
                  </pic:spPr>
                </pic:pic>
              </a:graphicData>
            </a:graphic>
          </wp:inline>
        </w:drawing>
      </w:r>
      <w:r w:rsidDel="00000000" w:rsidR="00000000" w:rsidRPr="00000000">
        <w:rPr>
          <w:rtl w:val="0"/>
        </w:rPr>
      </w:r>
    </w:p>
    <w:p w:rsidR="00000000" w:rsidDel="00000000" w:rsidP="00000000" w:rsidRDefault="00000000" w:rsidRPr="00000000" w14:paraId="00000028">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657600"/>
            <wp:effectExtent b="0" l="0" r="0" t="0"/>
            <wp:docPr id="1"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3657600"/>
                    </a:xfrm>
                    <a:prstGeom prst="rect"/>
                    <a:ln/>
                  </pic:spPr>
                </pic:pic>
              </a:graphicData>
            </a:graphic>
          </wp:inline>
        </w:drawing>
      </w: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