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40"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Manifestasi Klinis dan Penatalaksanaan Pneumotoraks Traumatik dengan Emfisema Subkutan pada Pasien Geriatri</w:t>
      </w:r>
    </w:p>
    <w:p w:rsidR="00000000" w:rsidDel="00000000" w:rsidP="00000000" w:rsidRDefault="00000000" w:rsidRPr="00000000" w14:paraId="00000002">
      <w:pPr>
        <w:spacing w:after="0" w:before="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Pieter David Adriaan Ferdinandus</w:t>
      </w:r>
    </w:p>
    <w:p w:rsidR="00000000" w:rsidDel="00000000" w:rsidP="00000000" w:rsidRDefault="00000000" w:rsidRPr="00000000" w14:paraId="00000003">
      <w:pPr>
        <w:spacing w:after="0" w:before="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4">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5">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Pneumotoraks merupakan kondisi patologis yang ditandai oleh adanya udara di dalam rongga pleura sehingga mengganggu mekanisme ventilasi normal paru. Kondisi ini dapat terjadi akibat trauma, tindakan medis, maupun secara spontan, dan berpotensi berkembang menjadi keadaan yang mengancam jiwa apabila tidak dikenali dan ditangani secara adekuat. Salah satu manifestasi klinis yang dapat menyertai pneumotoraks, khususnya pada kasus traumatik, adalah emfisema subkutan yang ditandai dengan pembengkakan jaringan lunak disertai sensasi krepitasi. Artikel ini bertujuan untuk menyajikan gambaran klinis, proses penegakan diagnosis, serta penatalaksanaan pneumotoraks traumatik yang disertai emfisema subkutan pada pasien usia lanjut, berdasarkan data klinis yang diperoleh dari sumber-sumber yang terpercaya. Metode penulisan artikel ini menggunakan pendekatan</w:t>
      </w:r>
      <w:r w:rsidDel="00000000" w:rsidR="00000000" w:rsidRPr="00000000">
        <w:rPr>
          <w:rFonts w:ascii="Times New Roman" w:cs="Times New Roman" w:eastAsia="Times New Roman" w:hAnsi="Times New Roman"/>
          <w:sz w:val="24"/>
          <w:szCs w:val="24"/>
          <w:rtl w:val="0"/>
        </w:rPr>
        <w:t xml:space="preserve"> literatur review</w:t>
      </w:r>
      <w:r w:rsidDel="00000000" w:rsidR="00000000" w:rsidRPr="00000000">
        <w:rPr>
          <w:rFonts w:ascii="Times New Roman" w:cs="Times New Roman" w:eastAsia="Times New Roman" w:hAnsi="Times New Roman"/>
          <w:sz w:val="24"/>
          <w:szCs w:val="24"/>
          <w:rtl w:val="0"/>
        </w:rPr>
        <w:t xml:space="preserve">. Sumber pustaka diperoleh dari buku ajar kedokteran, pedoman praktik klinis, serta artikel ilmiah nasional dan internasional yang membahas pneumotoraks. Informasi dari literatur dipilih berdasarkan relevansi dan kredibilitas, kemudian dianalisis secara deskriptif-analitik untuk menyajikan ringkasan yang sistematis mengenai epidemiologi, patofisiologi, diagnosis, dan tatalaksana pneumotoraks. Artikel ini tidak menyertakan data primer baru, melainkan memfokuskan pada sintesis pengetahuan yang sudah tersedia di publikasi ilmiah. Hasil pengamatan menunjukkan bahwa pneumotoraks pada pasien geriatri tidak selalu menampilkan gejala respirasi berat, melainkan dapat bermanifestasi dominan sebagai emfisema subkutan luas akibat kebocoran udara ke jaringan lunak. Pemeriksaan radiologi berperan penting dalam mendukung diagnosis, terutama pada kasus dengan riwayat trauma dada. Penatalaksanaan yang dilakukan meliputi terapi suportif dan tindakan dekompresi rongga pleura menggunakan </w:t>
      </w:r>
      <w:r w:rsidDel="00000000" w:rsidR="00000000" w:rsidRPr="00000000">
        <w:rPr>
          <w:rFonts w:ascii="Times New Roman" w:cs="Times New Roman" w:eastAsia="Times New Roman" w:hAnsi="Times New Roman"/>
          <w:i w:val="1"/>
          <w:iCs w:val="1"/>
          <w:sz w:val="24"/>
          <w:szCs w:val="24"/>
          <w:rtl w:val="0"/>
        </w:rPr>
        <w:t xml:space="preserve">water sealed drainage</w:t>
      </w:r>
      <w:r w:rsidDel="00000000" w:rsidR="00000000" w:rsidRPr="00000000">
        <w:rPr>
          <w:rFonts w:ascii="Times New Roman" w:cs="Times New Roman" w:eastAsia="Times New Roman" w:hAnsi="Times New Roman"/>
          <w:sz w:val="24"/>
          <w:szCs w:val="24"/>
          <w:rtl w:val="0"/>
        </w:rPr>
        <w:t xml:space="preserve"> untuk menurunkan tekanan intrapleura dan memungkinkan re-ekspansi paru. Kesimpulan dari artikel ini menegaskan bahwa kewaspadaan klinis, evaluasi menyeluruh, dan intervensi yang tepat waktu sangat berperan dalam mencegah komplikasi lebih lanjut serta memperbaiki luaran klinis pada pasien pneumotoraks traumatik, khususnya pada kelompok usia lanjut.</w:t>
      </w:r>
    </w:p>
    <w:p w:rsidR="00000000" w:rsidDel="00000000" w:rsidP="00000000" w:rsidRDefault="00000000" w:rsidRPr="00000000" w14:paraId="00000006">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pneumotoraks traumatik; emfisema subkutan; trauma dada; pasien geriatri; water sealed drainage</w:t>
      </w:r>
    </w:p>
    <w:p w:rsidR="00000000" w:rsidDel="00000000" w:rsidP="00000000" w:rsidRDefault="00000000" w:rsidRPr="00000000" w14:paraId="00000007">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8">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Pneumotoraks merupakan salah satu kondisi kegawatdaruratan dalam bidang pulmonologi dan bedah toraks yang ditandai oleh masuknya udara ke dalam rongga pleura</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Keberadaan udara tersebut menyebabkan hilangnya tekanan negatif intrapleura yang normalnya mempertahankan ekspansi paru, sehingga paru dapat mengalami kolaps sebagian atau total</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Gangguan ini berdampak langsung terhadap proses ventilasi dan oksigenasi, yang pada kondisi tertentu dapat berkembang menjadi gangguan hemodinamik yang mengancam jiwa</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9">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klinis, pneumotoraks dapat muncul dengan spektrum manifestasi yang luas, mulai dari keluhan ringan hingga gejala berat seperti sesak napas akut dan nyeri dada hebat</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sz w:val="24"/>
          <w:szCs w:val="24"/>
          <w:rtl w:val="0"/>
        </w:rPr>
        <w:t xml:space="preserve">. Variasi manifestasi tersebut dipengaruhi oleh luasnya kolaps paru, kecepatan akumulasi udara, serta kondisi dasar paru dan status fisiologis pasien</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Pada pasien usia lanjut, gejala pneumotoraks sering kali tidak khas dan dapat tersamar oleh kondisi komorbid atau keterbatasan komunikasi, sehingga berpotensi menunda diagnosis</w:t>
      </w:r>
      <w:r w:rsidDel="00000000" w:rsidR="00000000" w:rsidRPr="00000000">
        <w:rPr>
          <w:rFonts w:ascii="Times New Roman" w:cs="Times New Roman" w:eastAsia="Times New Roman" w:hAnsi="Times New Roman"/>
          <w:sz w:val="24"/>
          <w:szCs w:val="24"/>
          <w:vertAlign w:val="superscript"/>
          <w:rtl w:val="0"/>
        </w:rPr>
        <w:t xml:space="preserve">3,6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Salah satu temuan klinis yang dapat menyertai pneumotoraks, khususnya pada kasus traumatik, adalah emfisema subkutan</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Kondisi ini terjadi akibat perembesan udara dari rongga pleura atau jaringan paru ke jaringan lunak di sekitarnya, sehingga menimbulkan pembengkakan pada area wajah, leher, atau dinding dada</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Emfisema subkutan sering kali menjadi petunjuk penting adanya kebocoran udara, terutama ketika gejala respirasi tidak dominan</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Trauma dada, baik yang bersifat tumpul maupun tembus, merupakan salah satu penyebab utama pneumotoraks traumatik</w:t>
      </w:r>
      <w:r w:rsidDel="00000000" w:rsidR="00000000" w:rsidRPr="00000000">
        <w:rPr>
          <w:rFonts w:ascii="Times New Roman" w:cs="Times New Roman" w:eastAsia="Times New Roman" w:hAnsi="Times New Roman"/>
          <w:sz w:val="24"/>
          <w:szCs w:val="24"/>
          <w:vertAlign w:val="superscript"/>
          <w:rtl w:val="0"/>
        </w:rPr>
        <w:t xml:space="preserve">6,10</w:t>
      </w:r>
      <w:r w:rsidDel="00000000" w:rsidR="00000000" w:rsidRPr="00000000">
        <w:rPr>
          <w:rFonts w:ascii="Times New Roman" w:cs="Times New Roman" w:eastAsia="Times New Roman" w:hAnsi="Times New Roman"/>
          <w:sz w:val="24"/>
          <w:szCs w:val="24"/>
          <w:rtl w:val="0"/>
        </w:rPr>
        <w:t xml:space="preserve">. Fraktur costae akibat trauma dapat merusak jaringan paru atau pleura, sehingga memungkinkan udara keluar dari alveolus dan masuk ke rongga pleura</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 Pada pasien geriatri, trauma ringan sekalipun dapat menimbulkan cedera yang signifikan akibat penurunan elastisitas jaringan dan cadangan fisiologis</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C">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Berdasarkan latar belakang tersebut, artikel ini disusun untuk menggambarkan perjalanan klinis pneumotoraks traumatik yang disertai emfisema subkutan pada pasien usia lanjut, dengan menekankan pada proses penegakan diagnosis dan prinsip penatalaksanaan berdasarkan data klinis yang tersedia</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D">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E">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Penulisan artikel ini menggunakan metode studi literatur (literature review). Sumber pustaka diperoleh dari buku ajar kedokteran, pedoman praktik klinis, serta artikel ilmiah nasional dan internasional yang membahas pneumotoraks, pneumotoraks traumatik, dan emfisema subkutan. Literatur dipilih berdasarkan relevansi topik, kredibilitas sumber, dan kebaruan informasi. Data yang diperoleh dianalisis secara naratif dan disintesis untuk menyajikan pembahasan konseptual dan klinis yang terintegrasi.</w:t>
      </w:r>
      <w:r w:rsidDel="00000000" w:rsidR="00000000" w:rsidRPr="00000000">
        <w:rPr>
          <w:rtl w:val="0"/>
        </w:rPr>
      </w:r>
    </w:p>
    <w:p w:rsidR="00000000" w:rsidDel="00000000" w:rsidP="00000000" w:rsidRDefault="00000000" w:rsidRPr="00000000" w14:paraId="0000000F">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0">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Gambaran klinis pneumotoraks pada pasien usia lanjut dalam artikel ini menunjukkan variasi manifestasi yang tidak selalu didominasi oleh keluhan respirasi berat</w:t>
      </w:r>
      <w:r w:rsidDel="00000000" w:rsidR="00000000" w:rsidRPr="00000000">
        <w:rPr>
          <w:rFonts w:ascii="Times New Roman" w:cs="Times New Roman" w:eastAsia="Times New Roman" w:hAnsi="Times New Roman"/>
          <w:sz w:val="24"/>
          <w:szCs w:val="24"/>
          <w:vertAlign w:val="superscript"/>
          <w:rtl w:val="0"/>
        </w:rPr>
        <w:t xml:space="preserve">14,15</w:t>
      </w:r>
      <w:r w:rsidDel="00000000" w:rsidR="00000000" w:rsidRPr="00000000">
        <w:rPr>
          <w:rFonts w:ascii="Times New Roman" w:cs="Times New Roman" w:eastAsia="Times New Roman" w:hAnsi="Times New Roman"/>
          <w:sz w:val="24"/>
          <w:szCs w:val="24"/>
          <w:rtl w:val="0"/>
        </w:rPr>
        <w:t xml:space="preserve">. Pasien datang dengan keluhan utama berupa pembengkakan pada wajah, leher, dan dinding dada, yang pada pemeriksaan fisik disertai sensasi krepitasi khas emfisema subkutan</w:t>
      </w:r>
      <w:r w:rsidDel="00000000" w:rsidR="00000000" w:rsidRPr="00000000">
        <w:rPr>
          <w:rFonts w:ascii="Times New Roman" w:cs="Times New Roman" w:eastAsia="Times New Roman" w:hAnsi="Times New Roman"/>
          <w:sz w:val="24"/>
          <w:szCs w:val="24"/>
          <w:vertAlign w:val="superscript"/>
          <w:rtl w:val="0"/>
        </w:rPr>
        <w:t xml:space="preserve">16</w:t>
      </w:r>
      <w:r w:rsidDel="00000000" w:rsidR="00000000" w:rsidRPr="00000000">
        <w:rPr>
          <w:rFonts w:ascii="Times New Roman" w:cs="Times New Roman" w:eastAsia="Times New Roman" w:hAnsi="Times New Roman"/>
          <w:sz w:val="24"/>
          <w:szCs w:val="24"/>
          <w:rtl w:val="0"/>
        </w:rPr>
        <w:t xml:space="preserve">. Temuan ini mengindikasikan adanya kebocoran udara ke jaringan lunak, yang sering kali berkaitan dengan cedera pleura atau jaringan paru</w:t>
      </w:r>
      <w:r w:rsidDel="00000000" w:rsidR="00000000" w:rsidRPr="00000000">
        <w:rPr>
          <w:rFonts w:ascii="Times New Roman" w:cs="Times New Roman" w:eastAsia="Times New Roman" w:hAnsi="Times New Roman"/>
          <w:sz w:val="24"/>
          <w:szCs w:val="24"/>
          <w:vertAlign w:val="superscript"/>
          <w:rtl w:val="0"/>
        </w:rPr>
        <w:t xml:space="preserve">17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Riwayat trauma dada, meskipun terjadi beberapa waktu sebelum onset keluhan, menjadi faktor penting dalam menelusuri etiologi kondisi ini</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 Fraktur costae multipel yang ditemukan pada pemeriksaan radiologi mendukung adanya mekanisme traumatik sebagai penyebab pneumotoraks</w:t>
      </w:r>
      <w:r w:rsidDel="00000000" w:rsidR="00000000" w:rsidRPr="00000000">
        <w:rPr>
          <w:rFonts w:ascii="Times New Roman" w:cs="Times New Roman" w:eastAsia="Times New Roman" w:hAnsi="Times New Roman"/>
          <w:sz w:val="24"/>
          <w:szCs w:val="24"/>
          <w:vertAlign w:val="superscript"/>
          <w:rtl w:val="0"/>
        </w:rPr>
        <w:t xml:space="preserve">11,14</w:t>
      </w:r>
      <w:r w:rsidDel="00000000" w:rsidR="00000000" w:rsidRPr="00000000">
        <w:rPr>
          <w:rFonts w:ascii="Times New Roman" w:cs="Times New Roman" w:eastAsia="Times New Roman" w:hAnsi="Times New Roman"/>
          <w:sz w:val="24"/>
          <w:szCs w:val="24"/>
          <w:rtl w:val="0"/>
        </w:rPr>
        <w:t xml:space="preserve">. Pada pasien geriatri, trauma yang tampak ringan dapat menyebabkan kerusakan jaringan yang signifikan, mengingat penurunan elastisitas tulang dan jaringan paru seiring bertambahnya usia</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Pemeriksaan fisik toraks memberikan petunjuk awal berupa asimetri pergerakan dada dan penurunan fremitus raba pada sisi yang terkena</w:t>
      </w:r>
      <w:r w:rsidDel="00000000" w:rsidR="00000000" w:rsidRPr="00000000">
        <w:rPr>
          <w:rFonts w:ascii="Times New Roman" w:cs="Times New Roman" w:eastAsia="Times New Roman" w:hAnsi="Times New Roman"/>
          <w:sz w:val="24"/>
          <w:szCs w:val="24"/>
          <w:vertAlign w:val="superscript"/>
          <w:rtl w:val="0"/>
        </w:rPr>
        <w:t xml:space="preserve">4,5</w:t>
      </w:r>
      <w:r w:rsidDel="00000000" w:rsidR="00000000" w:rsidRPr="00000000">
        <w:rPr>
          <w:rFonts w:ascii="Times New Roman" w:cs="Times New Roman" w:eastAsia="Times New Roman" w:hAnsi="Times New Roman"/>
          <w:sz w:val="24"/>
          <w:szCs w:val="24"/>
          <w:rtl w:val="0"/>
        </w:rPr>
        <w:t xml:space="preserve">. Meskipun suara napas masih terdengar, temuan tersebut tetap mengarahkan kecurigaan pada adanya gangguan ventilasi unilateral</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Dalam konteks ini, emfisema subkutan berperan sebagai tanda klinis tambahan yang memperkuat dugaan adanya pneumotoraks</w:t>
      </w:r>
      <w:r w:rsidDel="00000000" w:rsidR="00000000" w:rsidRPr="00000000">
        <w:rPr>
          <w:rFonts w:ascii="Times New Roman" w:cs="Times New Roman" w:eastAsia="Times New Roman" w:hAnsi="Times New Roman"/>
          <w:sz w:val="24"/>
          <w:szCs w:val="24"/>
          <w:vertAlign w:val="superscript"/>
          <w:rtl w:val="0"/>
        </w:rPr>
        <w:t xml:space="preserve">7,9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Pemeriksaan radiologi toraks memiliki peran sentral dalam menegakkan diagnosis</w:t>
      </w:r>
      <w:r w:rsidDel="00000000" w:rsidR="00000000" w:rsidRPr="00000000">
        <w:rPr>
          <w:rFonts w:ascii="Times New Roman" w:cs="Times New Roman" w:eastAsia="Times New Roman" w:hAnsi="Times New Roman"/>
          <w:sz w:val="24"/>
          <w:szCs w:val="24"/>
          <w:vertAlign w:val="superscript"/>
          <w:rtl w:val="0"/>
        </w:rPr>
        <w:t xml:space="preserve">14,15</w:t>
      </w:r>
      <w:r w:rsidDel="00000000" w:rsidR="00000000" w:rsidRPr="00000000">
        <w:rPr>
          <w:rFonts w:ascii="Times New Roman" w:cs="Times New Roman" w:eastAsia="Times New Roman" w:hAnsi="Times New Roman"/>
          <w:sz w:val="24"/>
          <w:szCs w:val="24"/>
          <w:rtl w:val="0"/>
        </w:rPr>
        <w:t xml:space="preserve">. Gambaran fraktur costae posterior, emfisema subkutan, serta temuan yang mengarah pada pneumotoraks memberikan dasar yang kuat untuk menentukan diagnosis dan rencana terapi</w:t>
      </w:r>
      <w:r w:rsidDel="00000000" w:rsidR="00000000" w:rsidRPr="00000000">
        <w:rPr>
          <w:rFonts w:ascii="Times New Roman" w:cs="Times New Roman" w:eastAsia="Times New Roman" w:hAnsi="Times New Roman"/>
          <w:sz w:val="24"/>
          <w:szCs w:val="24"/>
          <w:vertAlign w:val="superscript"/>
          <w:rtl w:val="0"/>
        </w:rPr>
        <w:t xml:space="preserve">10,11</w:t>
      </w:r>
      <w:r w:rsidDel="00000000" w:rsidR="00000000" w:rsidRPr="00000000">
        <w:rPr>
          <w:rFonts w:ascii="Times New Roman" w:cs="Times New Roman" w:eastAsia="Times New Roman" w:hAnsi="Times New Roman"/>
          <w:sz w:val="24"/>
          <w:szCs w:val="24"/>
          <w:rtl w:val="0"/>
        </w:rPr>
        <w:t xml:space="preserve">. Pada kondisi tertentu, pemeriksaan radiologi juga membantu menilai adanya komplikasi lain seperti infiltrat paru yang dapat berkaitan dengan infeksi atau kontusio paru</w:t>
      </w:r>
      <w:r w:rsidDel="00000000" w:rsidR="00000000" w:rsidRPr="00000000">
        <w:rPr>
          <w:rFonts w:ascii="Times New Roman" w:cs="Times New Roman" w:eastAsia="Times New Roman" w:hAnsi="Times New Roman"/>
          <w:sz w:val="24"/>
          <w:szCs w:val="24"/>
          <w:vertAlign w:val="superscript"/>
          <w:rtl w:val="0"/>
        </w:rPr>
        <w:t xml:space="preserve">16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pneumotoraks pada kasus ini dilakukan dengan pendekatan komprehensif yang meliputi terapi suportif dan intervensi tindakan</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 Pemberian oksigen bertujuan untuk memperbaiki oksigenasi jaringan serta mempercepat resorpsi udara dalam rongga pleura</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Terapi cairan dan analgesik diberikan untuk mendukung kondisi umum pasien dan mengurangi nyeri akibat fraktur costae</w:t>
      </w:r>
      <w:r w:rsidDel="00000000" w:rsidR="00000000" w:rsidRPr="00000000">
        <w:rPr>
          <w:rFonts w:ascii="Times New Roman" w:cs="Times New Roman" w:eastAsia="Times New Roman" w:hAnsi="Times New Roman"/>
          <w:sz w:val="24"/>
          <w:szCs w:val="24"/>
          <w:vertAlign w:val="superscript"/>
          <w:rtl w:val="0"/>
        </w:rPr>
        <w:t xml:space="preserve">11,12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Tindakan dekompresi rongga pleura menggunakan water sealed drainage merupakan langkah utama dalam mengatasi pneumotoraks dengan temuan klinis dan radiologis yang signifikan. Pemasangan WSD memungkinkan udara keluar dari rongga pleura, menurunkan tekanan intrapleura, dan memberikan kesempatan bagi paru untuk mengembang kembali</w:t>
      </w:r>
      <w:r w:rsidDel="00000000" w:rsidR="00000000" w:rsidRPr="00000000">
        <w:rPr>
          <w:rFonts w:ascii="Times New Roman" w:cs="Times New Roman" w:eastAsia="Times New Roman" w:hAnsi="Times New Roman"/>
          <w:sz w:val="24"/>
          <w:szCs w:val="24"/>
          <w:vertAlign w:val="superscript"/>
          <w:rtl w:val="0"/>
        </w:rPr>
        <w:t xml:space="preserve">13,17</w:t>
      </w:r>
      <w:r w:rsidDel="00000000" w:rsidR="00000000" w:rsidRPr="00000000">
        <w:rPr>
          <w:rFonts w:ascii="Times New Roman" w:cs="Times New Roman" w:eastAsia="Times New Roman" w:hAnsi="Times New Roman"/>
          <w:sz w:val="24"/>
          <w:szCs w:val="24"/>
          <w:rtl w:val="0"/>
        </w:rPr>
        <w:t xml:space="preserve">. Selain itu, tindakan ini juga berperan dalam mencegah progresi kondisi menjadi pneumotoraks desak yang berpotensi fatal</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Perjalanan klinis pasien menunjukkan bahwa dengan penanganan yang tepat waktu dan sesuai indikasi, kondisi pneumotoraks dan emfisema subkutan dapat dikendalikan</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Hal ini menegaskan pentingnya kewaspadaan klinis terhadap tanda-tanda tidak langsung pneumotoraks, terutama pada pasien usia lanjut dengan riwayat trauma.</w:t>
      </w:r>
    </w:p>
    <w:p w:rsidR="00000000" w:rsidDel="00000000" w:rsidP="00000000" w:rsidRDefault="00000000" w:rsidRPr="00000000" w14:paraId="00000017">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8">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Pneumotoraks traumatik pada pasien geriatri dapat menampilkan manifestasi klinis yang tidak khas, salah satunya berupa emfisema subkutan luas tanpa disertai gejala respirasi berat. Riwayat trauma dada dan temuan pemeriksaan fisik yang teliti menjadi kunci dalam mencurigai diagnosis. Pemeriksaan radiologi berperan penting dalam konfirmasi diagnosis serta penentuan tatalaksana. Penanganan yang meliputi terapi suportif dan tindakan dekompresi rongga pleura menggunakan water sealed drainage terbukti efektif dalam mencegah komplikasi lebih lanjut dan memperbaiki kondisi klinis pasien. Artikel ini menekankan pentingnya evaluasi menyeluruh dan intervensi yang tepat waktu dalam penatalaksanaan pneumotoraks, khususnya pada kelompok usia lanjut.</w:t>
      </w:r>
    </w:p>
    <w:p w:rsidR="00000000" w:rsidDel="00000000" w:rsidP="00000000" w:rsidRDefault="00000000" w:rsidRPr="00000000" w14:paraId="00000019">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A">
      <w:pPr>
        <w:numPr>
          <w:ilvl w:val="0"/>
          <w:numId w:val="1"/>
        </w:numPr>
        <w:spacing w:after="0" w:afterAutospacing="0" w:before="24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Alwi, I., Salim, S., Hidayat, R., Kurniawan, J., &amp; Tahapary, D. L. (2019). Penatalaksanaan di Bidang Ilmu Penyakit Dalam : Panduan Praktik Klinis. Jakarta: InternaPublishing.</w:t>
      </w:r>
    </w:p>
    <w:p w:rsidR="00000000" w:rsidDel="00000000" w:rsidP="00000000" w:rsidRDefault="00000000" w:rsidRPr="00000000" w14:paraId="0000001B">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Amin, M., Kurniawan, W., Hasan, H., &amp; Marhana, I. A. (2019). Buku Ajar Paru 2019. Surabaya: Departemen Pulmonologi dan Ilmu Kedokteran Respirasi.</w:t>
      </w:r>
    </w:p>
    <w:p w:rsidR="00000000" w:rsidDel="00000000" w:rsidP="00000000" w:rsidRDefault="00000000" w:rsidRPr="00000000" w14:paraId="0000001C">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Costumbrado, J., &amp; Ghassemzadeh, S. (2023, July 24). Spontaneous Pneumothorax - StatPearls - NCBI bookshelf.</w:t>
      </w:r>
      <w:hyperlink r:id="rId6">
        <w:r w:rsidDel="00000000" w:rsidR="00000000" w:rsidRPr="00000000">
          <w:rPr>
            <w:rFonts w:ascii="Times New Roman" w:cs="Times New Roman" w:eastAsia="Times New Roman" w:hAnsi="Times New Roman"/>
            <w:sz w:val="24"/>
            <w:szCs w:val="24"/>
            <w:rtl w:val="0"/>
          </w:rPr>
          <w:t xml:space="preserve"> </w:t>
        </w:r>
      </w:hyperlink>
      <w:hyperlink r:id="rId7">
        <w:r w:rsidDel="00000000" w:rsidR="00000000" w:rsidRPr="00000000">
          <w:rPr>
            <w:rFonts w:ascii="Times New Roman" w:cs="Times New Roman" w:eastAsia="Times New Roman" w:hAnsi="Times New Roman"/>
            <w:color w:val="1155cc"/>
            <w:sz w:val="24"/>
            <w:szCs w:val="24"/>
            <w:u w:val="single"/>
            <w:rtl w:val="0"/>
          </w:rPr>
          <w:t xml:space="preserve">https://www.ncbi.nlm.nih.gov/books/NBK459302/</w:t>
        </w:r>
      </w:hyperlink>
      <w:r w:rsidDel="00000000" w:rsidR="00000000" w:rsidRPr="00000000">
        <w:rPr>
          <w:rFonts w:ascii="Times New Roman" w:cs="Times New Roman" w:eastAsia="Times New Roman" w:hAnsi="Times New Roman"/>
          <w:sz w:val="24"/>
          <w:szCs w:val="24"/>
          <w:rtl w:val="0"/>
        </w:rPr>
        <w:t xml:space="preserve"> Retrieved from</w:t>
      </w:r>
    </w:p>
    <w:p w:rsidR="00000000" w:rsidDel="00000000" w:rsidP="00000000" w:rsidRDefault="00000000" w:rsidRPr="00000000" w14:paraId="0000001D">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Hall, J. E. (2016). Guyton and Hall Textbook of Medical Physiology (13th ed.). Singapore : Elsevier Health Sciences.</w:t>
      </w:r>
    </w:p>
    <w:p w:rsidR="00000000" w:rsidDel="00000000" w:rsidP="00000000" w:rsidRDefault="00000000" w:rsidRPr="00000000" w14:paraId="0000001E">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Hansen, J. T. (2019). Netter's Cinical Anatomy (4th ed.). Singapore: Elsevier Health Sciences.</w:t>
      </w:r>
    </w:p>
    <w:p w:rsidR="00000000" w:rsidDel="00000000" w:rsidP="00000000" w:rsidRDefault="00000000" w:rsidRPr="00000000" w14:paraId="0000001F">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Hansen, J. T., &amp; Netter, F. H. (2018). Atlas of Human Anatomy (7th ed.). Philadelphia: Elsevier Health Sciences.</w:t>
      </w:r>
    </w:p>
    <w:p w:rsidR="00000000" w:rsidDel="00000000" w:rsidP="00000000" w:rsidRDefault="00000000" w:rsidRPr="00000000" w14:paraId="00000020">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Huan, N. C., Sidhu, C., &amp; Thomas, R. (2021). Pneumothorax Classification and Etiology. Clinics in Chest Medicine, 42(4), 711-727.</w:t>
      </w:r>
      <w:hyperlink r:id="rId8">
        <w:r w:rsidDel="00000000" w:rsidR="00000000" w:rsidRPr="00000000">
          <w:rPr>
            <w:rFonts w:ascii="Times New Roman" w:cs="Times New Roman" w:eastAsia="Times New Roman" w:hAnsi="Times New Roman"/>
            <w:sz w:val="24"/>
            <w:szCs w:val="24"/>
            <w:rtl w:val="0"/>
          </w:rPr>
          <w:t xml:space="preserve"> </w:t>
        </w:r>
      </w:hyperlink>
      <w:hyperlink r:id="rId9">
        <w:r w:rsidDel="00000000" w:rsidR="00000000" w:rsidRPr="00000000">
          <w:rPr>
            <w:rFonts w:ascii="Times New Roman" w:cs="Times New Roman" w:eastAsia="Times New Roman" w:hAnsi="Times New Roman"/>
            <w:color w:val="1155cc"/>
            <w:sz w:val="24"/>
            <w:szCs w:val="24"/>
            <w:u w:val="single"/>
            <w:rtl w:val="0"/>
          </w:rPr>
          <w:t xml:space="preserve">https://doi.org/10.1016/j.ccm.2021.08.0070272-5231/21/Ó2021</w:t>
        </w:r>
      </w:hyperlink>
      <w:r w:rsidDel="00000000" w:rsidR="00000000" w:rsidRPr="00000000">
        <w:rPr>
          <w:rtl w:val="0"/>
        </w:rPr>
      </w:r>
    </w:p>
    <w:p w:rsidR="00000000" w:rsidDel="00000000" w:rsidP="00000000" w:rsidRDefault="00000000" w:rsidRPr="00000000" w14:paraId="00000021">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Imran, J. B., &amp; Eastman, A. L. (2017). Retrieved Pneumothorax. JAMA, 318(10), doi:10.1001/jama.2017.10476</w:t>
      </w:r>
    </w:p>
    <w:p w:rsidR="00000000" w:rsidDel="00000000" w:rsidP="00000000" w:rsidRDefault="00000000" w:rsidRPr="00000000" w14:paraId="00000022">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Light, R. W., &amp; Lee, Y. G. (2016). PNEUMOTHORAX, CHYLOTHORAX, HEMOTHORAX, AND FIBROTHORAX. In Murray and Nadel's Textbook of Respiratory Medicine (6th ed., pp. 1439-1460). Florida: Elsevier.</w:t>
      </w:r>
    </w:p>
    <w:p w:rsidR="00000000" w:rsidDel="00000000" w:rsidP="00000000" w:rsidRDefault="00000000" w:rsidRPr="00000000" w14:paraId="00000023">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LoCicero, J., Feins, R. H., Colsons, Y. L., &amp; Rocco, G. (2018). Shields' General Thoracic Surgery (8th ed.). Philadelphia: Lippincott Williams &amp; Wilkins.</w:t>
      </w:r>
    </w:p>
    <w:p w:rsidR="00000000" w:rsidDel="00000000" w:rsidP="00000000" w:rsidRDefault="00000000" w:rsidRPr="00000000" w14:paraId="00000024">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Malik, R. H. (2020). Penanganan Gawat Darurat tension pneumothorax Dengan needle Thoracocentesis ICS Ke-5 Pemasangan Mini-WSD: A case report. Jurnal Penelitian Kesehatan "SUARA FORIKES", 11(2), 113-119. doi:10.33846/sf11201</w:t>
      </w:r>
    </w:p>
    <w:p w:rsidR="00000000" w:rsidDel="00000000" w:rsidP="00000000" w:rsidRDefault="00000000" w:rsidRPr="00000000" w14:paraId="00000025">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McKnight, C. L., &amp; Burns, B. (2023, February 15). Pneumothorax - StatPearls - NCBI bookshelf. Retrieved from</w:t>
      </w:r>
      <w:hyperlink r:id="rId10">
        <w:r w:rsidDel="00000000" w:rsidR="00000000" w:rsidRPr="00000000">
          <w:rPr>
            <w:rFonts w:ascii="Times New Roman" w:cs="Times New Roman" w:eastAsia="Times New Roman" w:hAnsi="Times New Roman"/>
            <w:sz w:val="24"/>
            <w:szCs w:val="24"/>
            <w:rtl w:val="0"/>
          </w:rPr>
          <w:t xml:space="preserve"> </w:t>
        </w:r>
      </w:hyperlink>
      <w:hyperlink r:id="rId11">
        <w:r w:rsidDel="00000000" w:rsidR="00000000" w:rsidRPr="00000000">
          <w:rPr>
            <w:rFonts w:ascii="Times New Roman" w:cs="Times New Roman" w:eastAsia="Times New Roman" w:hAnsi="Times New Roman"/>
            <w:color w:val="1155cc"/>
            <w:sz w:val="24"/>
            <w:szCs w:val="24"/>
            <w:u w:val="single"/>
            <w:rtl w:val="0"/>
          </w:rPr>
          <w:t xml:space="preserve">https://www.ncbi.nlm.nih.gov/books/NBK441885/</w:t>
        </w:r>
      </w:hyperlink>
      <w:r w:rsidDel="00000000" w:rsidR="00000000" w:rsidRPr="00000000">
        <w:rPr>
          <w:rFonts w:ascii="Times New Roman" w:cs="Times New Roman" w:eastAsia="Times New Roman" w:hAnsi="Times New Roman"/>
          <w:sz w:val="24"/>
          <w:szCs w:val="24"/>
          <w:rtl w:val="0"/>
        </w:rPr>
        <w:t xml:space="preserve"> 35</w:t>
      </w:r>
    </w:p>
    <w:p w:rsidR="00000000" w:rsidDel="00000000" w:rsidP="00000000" w:rsidRDefault="00000000" w:rsidRPr="00000000" w14:paraId="00000026">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Purnabawa, I. W., &amp; Suarjaya, P. P. (2021). EARLY IDENTIFICATION AND BASIC LIFE SUPPORT FOR PNEUMOTHORAX. Jurnal Medika Udayana, 2(3), 750-766.</w:t>
      </w:r>
    </w:p>
    <w:p w:rsidR="00000000" w:rsidDel="00000000" w:rsidP="00000000" w:rsidRDefault="00000000" w:rsidRPr="00000000" w14:paraId="00000027">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Sebayang, A. N., &amp; Kurniawan, S. D. (2022). Spontaneosus Pneumothorax. SCRIPTA SCORE Scientific Medical Journal, 4(1), 92-96. doi:10.32734/scripta.v4i1.8118</w:t>
      </w:r>
    </w:p>
    <w:p w:rsidR="00000000" w:rsidDel="00000000" w:rsidP="00000000" w:rsidRDefault="00000000" w:rsidRPr="00000000" w14:paraId="00000028">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Sherwood, L. (2016). Sherwood's Human Physiology: From Cells to Systems (8th ed.). Singapore: Cengage Learning.</w:t>
      </w:r>
    </w:p>
    <w:p w:rsidR="00000000" w:rsidDel="00000000" w:rsidP="00000000" w:rsidRDefault="00000000" w:rsidRPr="00000000" w14:paraId="00000029">
      <w:pPr>
        <w:numPr>
          <w:ilvl w:val="0"/>
          <w:numId w:val="1"/>
        </w:numPr>
        <w:spacing w:after="0" w:afterAutospacing="0" w:before="0" w:beforeAutospacing="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Sjamsuhidajat, R., Prasetyono, T. O., Rudiman, R., Riwanto, I., &amp; Tahalele, P. (2016). Buku Ajar Ilmu Bedah : Sistem Organ Tindak Bedahnya Vol. 2 (4th ed.). Jakarta: EGC.</w:t>
      </w:r>
    </w:p>
    <w:p w:rsidR="00000000" w:rsidDel="00000000" w:rsidP="00000000" w:rsidRDefault="00000000" w:rsidRPr="00000000" w14:paraId="0000002A">
      <w:pPr>
        <w:numPr>
          <w:ilvl w:val="0"/>
          <w:numId w:val="1"/>
        </w:numPr>
        <w:spacing w:after="240" w:before="0" w:beforeAutospacing="0" w:line="360" w:lineRule="auto"/>
        <w:ind w:left="720" w:hanging="360"/>
        <w:jc w:val="both"/>
        <w:rPr>
          <w:rFonts w:ascii="Times New Roman" w:cs="Times New Roman" w:eastAsia="Times New Roman" w:hAnsi="Times New Roman"/>
          <w:sz w:val="24"/>
          <w:szCs w:val="24"/>
        </w:rPr>
        <w:sectPr>
          <w:pgSz w:h="16834" w:w="11909" w:orient="portrait"/>
          <w:pgMar w:bottom="1440" w:top="1440" w:left="1440" w:right="1440" w:header="720" w:footer="720"/>
          <w:pgNumType w:start="1"/>
        </w:sectPr>
      </w:pPr>
      <w:r w:rsidDel="00000000" w:rsidR="00000000" w:rsidRPr="00000000">
        <w:rPr>
          <w:rFonts w:ascii="Times New Roman" w:cs="Times New Roman" w:eastAsia="Times New Roman" w:hAnsi="Times New Roman"/>
          <w:sz w:val="24"/>
          <w:szCs w:val="24"/>
          <w:rtl w:val="0"/>
        </w:rPr>
        <w:t xml:space="preserve">Standring, S. (Ed.). (2016). Gray's Anatomy: The Anatomical Basis of Clinical Practice (41st ed.). Boston : Churchill Livingstone.</w:t>
      </w:r>
    </w:p>
    <w:p w:rsidR="00000000" w:rsidDel="00000000" w:rsidP="00000000" w:rsidRDefault="00000000" w:rsidRPr="00000000" w14:paraId="0000002B">
      <w:pPr>
        <w:spacing w:after="240" w:before="240" w:line="36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C">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1930400"/>
            <wp:effectExtent b="0" l="0" r="0" t="0"/>
            <wp:docPr id="1" name="image2.png"/>
            <a:graphic>
              <a:graphicData uri="http://schemas.openxmlformats.org/drawingml/2006/picture">
                <pic:pic>
                  <pic:nvPicPr>
                    <pic:cNvPr id="0" name="image2.png"/>
                    <pic:cNvPicPr preferRelativeResize="0"/>
                  </pic:nvPicPr>
                  <pic:blipFill>
                    <a:blip r:embed="rId12"/>
                    <a:srcRect b="0" l="0" r="0" t="0"/>
                    <a:stretch>
                      <a:fillRect/>
                    </a:stretch>
                  </pic:blipFill>
                  <pic:spPr>
                    <a:xfrm>
                      <a:off x="0" y="0"/>
                      <a:ext cx="5731200" cy="1930400"/>
                    </a:xfrm>
                    <a:prstGeom prst="rect"/>
                    <a:ln/>
                  </pic:spPr>
                </pic:pic>
              </a:graphicData>
            </a:graphic>
          </wp:inline>
        </w:drawing>
      </w:r>
      <w:r w:rsidDel="00000000" w:rsidR="00000000" w:rsidRPr="00000000">
        <w:rPr>
          <w:rtl w:val="0"/>
        </w:rPr>
      </w:r>
    </w:p>
    <w:p w:rsidR="00000000" w:rsidDel="00000000" w:rsidP="00000000" w:rsidRDefault="00000000" w:rsidRPr="00000000" w14:paraId="0000002D">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374900"/>
            <wp:effectExtent b="0" l="0" r="0" t="0"/>
            <wp:docPr id="2" name="image1.png"/>
            <a:graphic>
              <a:graphicData uri="http://schemas.openxmlformats.org/drawingml/2006/picture">
                <pic:pic>
                  <pic:nvPicPr>
                    <pic:cNvPr id="0" name="image1.png"/>
                    <pic:cNvPicPr preferRelativeResize="0"/>
                  </pic:nvPicPr>
                  <pic:blipFill>
                    <a:blip r:embed="rId13"/>
                    <a:srcRect b="0" l="0" r="0" t="0"/>
                    <a:stretch>
                      <a:fillRect/>
                    </a:stretch>
                  </pic:blipFill>
                  <pic:spPr>
                    <a:xfrm>
                      <a:off x="0" y="0"/>
                      <a:ext cx="5731200" cy="2374900"/>
                    </a:xfrm>
                    <a:prstGeom prst="rect"/>
                    <a:ln/>
                  </pic:spPr>
                </pic:pic>
              </a:graphicData>
            </a:graphic>
          </wp:inline>
        </w:drawing>
      </w:r>
      <w:r w:rsidDel="00000000" w:rsidR="00000000" w:rsidRPr="00000000">
        <w:rPr>
          <w:rtl w:val="0"/>
        </w:rPr>
      </w:r>
    </w:p>
    <w:p w:rsidR="00000000" w:rsidDel="00000000" w:rsidP="00000000" w:rsidRDefault="00000000" w:rsidRPr="00000000" w14:paraId="0000002E">
      <w:pPr>
        <w:spacing w:line="360" w:lineRule="auto"/>
        <w:jc w:val="both"/>
        <w:rPr>
          <w:rFonts w:ascii="Times New Roman" w:cs="Times New Roman" w:eastAsia="Times New Roman" w:hAnsi="Times New Roman"/>
          <w:sz w:val="24"/>
          <w:szCs w:val="24"/>
        </w:rPr>
      </w:pPr>
      <w:r w:rsidDel="00000000" w:rsidR="00000000" w:rsidRPr="00000000">
        <w:rPr>
          <w:rtl w:val="0"/>
        </w:rPr>
      </w:r>
    </w:p>
    <w:sectPr>
      <w:type w:val="continuous"/>
      <w:pgSz w:h="16834" w:w="11909"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www.ncbi.nlm.nih.gov/books/NBK441885/" TargetMode="External"/><Relationship Id="rId10" Type="http://schemas.openxmlformats.org/officeDocument/2006/relationships/hyperlink" Target="https://www.ncbi.nlm.nih.gov/books/NBK441885/" TargetMode="External"/><Relationship Id="rId13" Type="http://schemas.openxmlformats.org/officeDocument/2006/relationships/image" Target="media/image1.png"/><Relationship Id="rId12" Type="http://schemas.openxmlformats.org/officeDocument/2006/relationships/image" Target="media/image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1016/j.ccm.2021.08.0070272-5231/21/%C3%932021" TargetMode="External"/><Relationship Id="rId5" Type="http://schemas.openxmlformats.org/officeDocument/2006/relationships/styles" Target="styles.xml"/><Relationship Id="rId6" Type="http://schemas.openxmlformats.org/officeDocument/2006/relationships/hyperlink" Target="https://www.ncbi.nlm.nih.gov/books/NBK459302/" TargetMode="External"/><Relationship Id="rId7" Type="http://schemas.openxmlformats.org/officeDocument/2006/relationships/hyperlink" Target="https://www.ncbi.nlm.nih.gov/books/NBK459302/" TargetMode="External"/><Relationship Id="rId8" Type="http://schemas.openxmlformats.org/officeDocument/2006/relationships/hyperlink" Target="https://doi.org/10.1016/j.ccm.2021.08.0070272-5231/21/%C3%932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