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dgu9xtdn03dz" w:id="0"/>
      <w:bookmarkEnd w:id="0"/>
      <w:r w:rsidDel="00000000" w:rsidR="00000000" w:rsidRPr="00000000">
        <w:rPr>
          <w:rFonts w:ascii="Times New Roman" w:cs="Times New Roman" w:eastAsia="Times New Roman" w:hAnsi="Times New Roman"/>
          <w:b w:val="1"/>
          <w:bCs w:val="1"/>
          <w:sz w:val="24"/>
          <w:szCs w:val="24"/>
          <w:rtl w:val="0"/>
        </w:rPr>
        <w:t xml:space="preserve">Implikasi Klinis </w:t>
      </w:r>
      <w:r w:rsidDel="00000000" w:rsidR="00000000" w:rsidRPr="00000000">
        <w:rPr>
          <w:rFonts w:ascii="Times New Roman" w:cs="Times New Roman" w:eastAsia="Times New Roman" w:hAnsi="Times New Roman"/>
          <w:b w:val="1"/>
          <w:bCs w:val="1"/>
          <w:color w:val="0f1115"/>
          <w:sz w:val="24"/>
          <w:szCs w:val="24"/>
          <w:rtl w:val="0"/>
        </w:rPr>
        <w:t xml:space="preserve">Gastroenteritis Akut terhadap Kejadian Dehidrasi pada Anak </w:t>
      </w:r>
      <w:r w:rsidDel="00000000" w:rsidR="00000000" w:rsidRPr="00000000">
        <w:rPr>
          <w:rFonts w:ascii="Times New Roman" w:cs="Times New Roman" w:eastAsia="Times New Roman" w:hAnsi="Times New Roman"/>
          <w:b w:val="1"/>
          <w:bCs w:val="1"/>
          <w:sz w:val="24"/>
          <w:szCs w:val="24"/>
          <w:rtl w:val="0"/>
        </w:rPr>
        <w:t xml:space="preserve">dan Mortalitas Bayi Baru Lahir</w:t>
      </w:r>
    </w:p>
    <w:p w:rsidR="00000000" w:rsidDel="00000000" w:rsidP="00000000" w:rsidRDefault="00000000" w:rsidRPr="00000000" w14:paraId="00000002">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Ariani Setiowati</w:t>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7qzxf8forloc" w:id="1"/>
      <w:bookmarkEnd w:id="1"/>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f1115"/>
          <w:sz w:val="24"/>
          <w:szCs w:val="24"/>
          <w:highlight w:val="white"/>
          <w:rtl w:val="0"/>
        </w:rPr>
        <w:t xml:space="preserve">Gastroenteritis akut (GEA) tetap menjadi penyebab utama morbiditas pada anak di bawah lima tahun secara global, dengan dehidrasi sebagai komplikasi paling serius yang menentukan luaran klinis. Kondisi ini dicirikan oleh muntah, diare, dan demam yang onsetnya akut, sebagian besar disebabkan oleh infeksi virus. Di negara berkembang, termasuk Indonesia, GEA berkontribusi signifikan terhadap angka kunjungan rumah sakit dan beban ekonomi kesehatan keluarga. Tantangan utama dalam penanganannya meliputi keterlambatan mengenali derajat dehidrasi, variasi dalam pemilihan rute rehidrasi, serta ketidakpatuhan dalam pemberian terapi adjuvan. Artikel ini bertujuan untuk menganalisis implikasi klinis GEA, khususnya dalam memicu dehidrasi, melalui telaah terhadap sebuah laporan kasus dan sintesis bukti ilmiah terkini. Penulisan menggunakan metode naratif deskriptif dengan mengintegrasikan data pasien anak usia 16 bulan yang dirawat akibat GEA dan dehidrasi ringan-sedang, serta tinjauan literatur sistematis dari sumber terpercaya. Hasil analisis menunjukkan bahwa penilaian klinis yang cermat terhadap tanda seperti mata cowong dan turgor kulit merupakan kunci dalam menilai derajat dehidrasi. Tatalaksana yang tepat, yang meliputi rehidrasi agresif sesuai kondisi, pemberian zinc, dan probiotik terbukti dapat mempersingkat durasi gejala dan mencegah komplikasi. Diagnosis dini dan intervensi cepat sangat menentukan prognosis. Kesimpulannya, GEA merupakan kondisi yang dapat berdampak serius akibat kehilangan cairan dan elektrolit. Pendekatan manajemen yang terstandarisasi, berfokus pada rehidrasi, terapi adjuvan berbasis bukti, serta edukasi orang tua yang komprehensif, sangat diperlukan untuk menekan morbiditas dan mencegah mortalitas.</w:t>
      </w:r>
      <w:r w:rsidDel="00000000" w:rsidR="00000000" w:rsidRPr="00000000">
        <w:rPr>
          <w:rtl w:val="0"/>
        </w:rPr>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f1115"/>
          <w:sz w:val="24"/>
          <w:szCs w:val="24"/>
          <w:highlight w:val="white"/>
          <w:rtl w:val="0"/>
        </w:rPr>
        <w:t xml:space="preserve">Gastroenteritis Akut; Diare Anak; Dehidrasi; Rehidrasi; Zinc</w:t>
      </w:r>
      <w:r w:rsidDel="00000000" w:rsidR="00000000" w:rsidRPr="00000000">
        <w:rPr>
          <w:rtl w:val="0"/>
        </w:rPr>
      </w:r>
    </w:p>
    <w:p w:rsidR="00000000" w:rsidDel="00000000" w:rsidP="00000000" w:rsidRDefault="00000000" w:rsidRPr="00000000" w14:paraId="00000008">
      <w:pPr>
        <w:pStyle w:val="Heading2"/>
        <w:keepNext w:val="0"/>
        <w:keepLines w:val="0"/>
        <w:spacing w:after="80" w:lineRule="auto"/>
        <w:jc w:val="both"/>
        <w:rPr>
          <w:rFonts w:ascii="Times New Roman" w:cs="Times New Roman" w:eastAsia="Times New Roman" w:hAnsi="Times New Roman"/>
          <w:color w:val="0f1115"/>
          <w:sz w:val="24"/>
          <w:szCs w:val="24"/>
        </w:rPr>
      </w:pPr>
      <w:bookmarkStart w:colFirst="0" w:colLast="0" w:name="_f78l1jlvhya3" w:id="2"/>
      <w:bookmarkEnd w:id="2"/>
      <w:r w:rsidDel="00000000" w:rsidR="00000000" w:rsidRPr="00000000">
        <w:rPr>
          <w:rFonts w:ascii="Times New Roman" w:cs="Times New Roman" w:eastAsia="Times New Roman" w:hAnsi="Times New Roman"/>
          <w:b w:val="1"/>
          <w:bCs w:val="1"/>
          <w:sz w:val="24"/>
          <w:szCs w:val="24"/>
          <w:rtl w:val="0"/>
        </w:rPr>
        <w:t xml:space="preserve">Pendahuluan</w:t>
      </w:r>
      <w:r w:rsidDel="00000000" w:rsidR="00000000" w:rsidRPr="00000000">
        <w:rPr>
          <w:rtl w:val="0"/>
        </w:rPr>
      </w:r>
    </w:p>
    <w:p w:rsidR="00000000" w:rsidDel="00000000" w:rsidP="00000000" w:rsidRDefault="00000000" w:rsidRPr="00000000" w14:paraId="00000009">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Gastroenteritis akut (GEA) merupakan masalah kesehatan global yang masih menjadi tantangan besar dalam bidang kesehatan anak, khususnya di negara berkembang. Kondisi ini menyumbang proporsi signifikan terhadap morbiditas dan kunjungan rumah sakit anak di seluruh dunia. Organisasi Kesehatan Dunia (WHO) memperkirakan bahwa diare, sebagai manifestasi utama GEA, bertanggung jawab atas ratusan ribu kematian anak setiap tahunnya, menempatkannya sebagai penyebab kematian kedua pada anak di bawah lima tahun</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color w:val="0f1115"/>
          <w:sz w:val="24"/>
          <w:szCs w:val="24"/>
          <w:rtl w:val="0"/>
        </w:rPr>
        <w:t xml:space="preserve">. Tingginya angka kesakitan ini menunjukkan bahwa GEA bukan hanya masalah klinis individu, tetapi juga merefleksikan masalah sistemik seperti sanitasi, akses air bersih, dan edukasi kesehatan masyarakat</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0A">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Secara klinis, GEA didefinisikan sebagai suatu sindrom yang ditandai dengan perubahan mendadak dalam konsistensi tinja (menjadi lembek atau cair) dan peningkatan frekuensi buang air besar (lebih dari tiga kali dalam 24 jam), yang dapat disertai muntah, demam, atau nyeri abdomen</w:t>
      </w:r>
      <w:r w:rsidDel="00000000" w:rsidR="00000000" w:rsidRPr="00000000">
        <w:rPr>
          <w:rFonts w:ascii="Times New Roman" w:cs="Times New Roman" w:eastAsia="Times New Roman" w:hAnsi="Times New Roman"/>
          <w:sz w:val="24"/>
          <w:szCs w:val="24"/>
          <w:vertAlign w:val="superscript"/>
          <w:rtl w:val="0"/>
        </w:rPr>
        <w:t xml:space="preserve">3,5</w:t>
      </w:r>
      <w:r w:rsidDel="00000000" w:rsidR="00000000" w:rsidRPr="00000000">
        <w:rPr>
          <w:rFonts w:ascii="Times New Roman" w:cs="Times New Roman" w:eastAsia="Times New Roman" w:hAnsi="Times New Roman"/>
          <w:color w:val="0f1115"/>
          <w:sz w:val="24"/>
          <w:szCs w:val="24"/>
          <w:rtl w:val="0"/>
        </w:rPr>
        <w:t xml:space="preserve">. Berdasarkan durasinya, diare diklasifikasikan menjadi akut (kurang dari 7 hari), persisten (7-14 hari), dan kronis (lebih dari 14 hari)</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color w:val="0f1115"/>
          <w:sz w:val="24"/>
          <w:szCs w:val="24"/>
          <w:rtl w:val="0"/>
        </w:rPr>
        <w:t xml:space="preserve">. Secara etiologi, GEA akut paling sering disebabkan oleh infeksi, baik virus (seperti rotavirus dan norovirus), bakteri, maupun parasit, yang ditularkan terutama melalui rute fekal-oral</w:t>
      </w:r>
      <w:r w:rsidDel="00000000" w:rsidR="00000000" w:rsidRPr="00000000">
        <w:rPr>
          <w:rFonts w:ascii="Times New Roman" w:cs="Times New Roman" w:eastAsia="Times New Roman" w:hAnsi="Times New Roman"/>
          <w:sz w:val="24"/>
          <w:szCs w:val="24"/>
          <w:vertAlign w:val="superscript"/>
          <w:rtl w:val="0"/>
        </w:rPr>
        <w:t xml:space="preserve">3,6</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0B">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Manifestasi klinis GEA sering kali bervariasi, namun komplikasi yang paling dikhawatirkan dan menentukan luaran adalah dehidrasi</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color w:val="0f1115"/>
          <w:sz w:val="24"/>
          <w:szCs w:val="24"/>
          <w:rtl w:val="0"/>
        </w:rPr>
        <w:t xml:space="preserve">. Gejala seperti mata cowong, turgor kulit menurun, lesu, dan penurunan produksi urin dapat menjadi tanda dehidrasi yang memerlukan intervensi segera. Ketidakspesifikan gejala awal, terutama pada bayi, sering menyebabkan keterlambatan orang tua dalam mencari pertolongan medis, yang berpotensi menunda pemberian terapi rehidrasi yang adekuat</w:t>
      </w:r>
      <w:r w:rsidDel="00000000" w:rsidR="00000000" w:rsidRPr="00000000">
        <w:rPr>
          <w:rFonts w:ascii="Times New Roman" w:cs="Times New Roman" w:eastAsia="Times New Roman" w:hAnsi="Times New Roman"/>
          <w:sz w:val="24"/>
          <w:szCs w:val="24"/>
          <w:vertAlign w:val="superscript"/>
          <w:rtl w:val="0"/>
        </w:rPr>
        <w:t xml:space="preserve">5,7</w:t>
      </w:r>
      <w:r w:rsidDel="00000000" w:rsidR="00000000" w:rsidRPr="00000000">
        <w:rPr>
          <w:rFonts w:ascii="Times New Roman" w:cs="Times New Roman" w:eastAsia="Times New Roman" w:hAnsi="Times New Roman"/>
          <w:color w:val="0f1115"/>
          <w:sz w:val="24"/>
          <w:szCs w:val="24"/>
          <w:rtl w:val="0"/>
        </w:rPr>
        <w:t xml:space="preserve">. Keterlambatan ini terbukti berkorelasi dengan peningkatan risiko komplikasi yang lebih berat, seperti syok hipovolemik dan gangguan elektrolit.</w:t>
      </w:r>
    </w:p>
    <w:p w:rsidR="00000000" w:rsidDel="00000000" w:rsidP="00000000" w:rsidRDefault="00000000" w:rsidRPr="00000000" w14:paraId="0000000C">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Selain dampak akut, episode GEA berulang juga berhubungan dengan berbagai dampak jangka panjang, termasuk malnutrisi, gangguan tumbuh kembang, dan peningkatan kerentanan terhadap infeksi berikutnya</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color w:val="0f1115"/>
          <w:sz w:val="24"/>
          <w:szCs w:val="24"/>
          <w:rtl w:val="0"/>
        </w:rPr>
        <w:t xml:space="preserve">. Oleh karena itu, GEA tidak hanya berdampak pada kesehatan anak dalam jangka pendek, tetapi juga memiliki implikasi terhadap kualitas hidup dan potensi kembangnya di kemudian hari. Berdasarkan latar belakang tersebut, pemahaman mendalam mengenai implikasi klinis GEA, khususnya dalam hal pencegahan dan penatalaksanaan dehidrasi secara komprehensif, sangat diperlukan untuk meningkatkan kualitas penanganan dan luaran pasien anak.</w:t>
      </w:r>
    </w:p>
    <w:p w:rsidR="00000000" w:rsidDel="00000000" w:rsidP="00000000" w:rsidRDefault="00000000" w:rsidRPr="00000000" w14:paraId="0000000D">
      <w:pPr>
        <w:pStyle w:val="Heading2"/>
        <w:keepNext w:val="0"/>
        <w:keepLines w:val="0"/>
        <w:spacing w:after="80" w:lineRule="auto"/>
        <w:jc w:val="both"/>
        <w:rPr>
          <w:rFonts w:ascii="Times New Roman" w:cs="Times New Roman" w:eastAsia="Times New Roman" w:hAnsi="Times New Roman"/>
          <w:sz w:val="24"/>
          <w:szCs w:val="24"/>
        </w:rPr>
      </w:pPr>
      <w:bookmarkStart w:colFirst="0" w:colLast="0" w:name="_5jz7ucv0m7mu" w:id="3"/>
      <w:bookmarkEnd w:id="3"/>
      <w:r w:rsidDel="00000000" w:rsidR="00000000" w:rsidRPr="00000000">
        <w:rPr>
          <w:rFonts w:ascii="Times New Roman" w:cs="Times New Roman" w:eastAsia="Times New Roman" w:hAnsi="Times New Roman"/>
          <w:b w:val="1"/>
          <w:bCs w:val="1"/>
          <w:sz w:val="24"/>
          <w:szCs w:val="24"/>
          <w:rtl w:val="0"/>
        </w:rPr>
        <w:t xml:space="preserve">Metode</w:t>
      </w:r>
      <w:r w:rsidDel="00000000" w:rsidR="00000000" w:rsidRPr="00000000">
        <w:rPr>
          <w:rtl w:val="0"/>
        </w:rPr>
      </w:r>
    </w:p>
    <w:p w:rsidR="00000000" w:rsidDel="00000000" w:rsidP="00000000" w:rsidRDefault="00000000" w:rsidRPr="00000000" w14:paraId="0000000E">
      <w:pPr>
        <w:spacing w:after="16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Penulisan artikel ini menggunakan metode studi literatur (</w:t>
      </w:r>
      <w:r w:rsidDel="00000000" w:rsidR="00000000" w:rsidRPr="00000000">
        <w:rPr>
          <w:rFonts w:ascii="Times New Roman" w:cs="Times New Roman" w:eastAsia="Times New Roman" w:hAnsi="Times New Roman"/>
          <w:i w:val="1"/>
          <w:iCs w:val="1"/>
          <w:sz w:val="24"/>
          <w:szCs w:val="24"/>
          <w:rtl w:val="0"/>
        </w:rPr>
        <w:t xml:space="preserve">literature review</w:t>
      </w:r>
      <w:r w:rsidDel="00000000" w:rsidR="00000000" w:rsidRPr="00000000">
        <w:rPr>
          <w:rFonts w:ascii="Times New Roman" w:cs="Times New Roman" w:eastAsia="Times New Roman" w:hAnsi="Times New Roman"/>
          <w:sz w:val="24"/>
          <w:szCs w:val="24"/>
          <w:rtl w:val="0"/>
        </w:rPr>
        <w:t xml:space="preserve">). Sumber pustaka diperoleh dari  buku teks gastroenterologi anak, pedoman nasional dan internasional, serta artikel ilmiah yang membahas epidemiologi, patofisiologi, diagnosis, dan tata laksana gastroenteritis akut pada anak. Literatur dipilih berdasarkan relevansi topik, kredibilitas sumber, dan kesesuaian dengan tujuan pembahasan. Data yang diperoleh kemudian dirangkum dan disintesis untuk menyajikan tinjauan teoretis mengenai gastroenteritis akut pada anak tanpa melibatkan laporan kasus klinis.</w:t>
      </w:r>
    </w:p>
    <w:p w:rsidR="00000000" w:rsidDel="00000000" w:rsidP="00000000" w:rsidRDefault="00000000" w:rsidRPr="00000000" w14:paraId="0000000F">
      <w:pPr>
        <w:pStyle w:val="Heading2"/>
        <w:keepNext w:val="0"/>
        <w:keepLines w:val="0"/>
        <w:spacing w:after="80" w:lineRule="auto"/>
        <w:jc w:val="both"/>
        <w:rPr>
          <w:rFonts w:ascii="Times New Roman" w:cs="Times New Roman" w:eastAsia="Times New Roman" w:hAnsi="Times New Roman"/>
          <w:sz w:val="24"/>
          <w:szCs w:val="24"/>
        </w:rPr>
      </w:pPr>
      <w:bookmarkStart w:colFirst="0" w:colLast="0" w:name="_3eo0n7yq31ps" w:id="4"/>
      <w:bookmarkEnd w:id="4"/>
      <w:r w:rsidDel="00000000" w:rsidR="00000000" w:rsidRPr="00000000">
        <w:rPr>
          <w:rFonts w:ascii="Times New Roman" w:cs="Times New Roman" w:eastAsia="Times New Roman" w:hAnsi="Times New Roman"/>
          <w:b w:val="1"/>
          <w:bCs w:val="1"/>
          <w:sz w:val="24"/>
          <w:szCs w:val="24"/>
          <w:rtl w:val="0"/>
        </w:rPr>
        <w:t xml:space="preserve">Pembahasan</w:t>
      </w:r>
      <w:r w:rsidDel="00000000" w:rsidR="00000000" w:rsidRPr="00000000">
        <w:rPr>
          <w:rtl w:val="0"/>
        </w:rPr>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Gastroenteritis akut (GEA) pada anak merupakan kondisi kompleks yang terutama mencerminkan interaksi antara patogen infeksius dan respons mukosa usus yang mengalami kerusakan</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 Patogen utama, seperti rotavirus atau bakteri enterotoksigenik, menyerang enterosit dan mengganggu mekanisme absorpsi dan sekresi normal usus halus</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Kerusakan vili usus ini menyebabkan malabsorpsi karbohidrat dan peningkatan tekanan osmotik intralumen, yang menarik cairan ke dalam lumen usus dan memicu diare sekretorik atau osmotik</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 Pada saat yang sama, respons inflamasi lokal dilepaskan, yang dapat memperburuk kerusakan epitel dan meningkatkan permeabilitas vaskular. Proses ini, bila disertai dengan muntah yang menghambat asupan oral, dengan cepat mengarah pada kehilangan cairan dan elektrolit yang signifikan, mendasari terjadinya dehidrasi</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Dehidrasi sebagai komplikasi utama GEA berperan penting dalam terjadinya gangguan homeostasis tubuh</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Kehilangan cairan isotonik yang mengandung natrium, kalium, bikarbonat, dan elektrolit lainnya dapat menyebabkan hipovolemia, gangguan perfusi jaringan, dan ketidakseimbangan asam-basa. Asidosis metabolik sering terjadi akibat kehilangan bikarbonat melalui tinja dan peningkatan produksi asam laktat dari hipoperfusi jaringan. Pada kasus yang lebih berat, gangguan elektrolit seperti hipokalemia dapat menyebabkan ileus paralitik dan kelemahan otot, sementara hiponatremia atau hipernatremia berisiko menyebabkan komplikasi neurologis</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Diagnosis dan penilaian derajat dehidrasi pada GEA tetap menjadi tantangan klinis yang signifikan</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Tidak ada pemeriksaan tunggal yang menjadi standar emas untuk mendiagnosis dehidrasi ringan-sedang. Oleh karena itu, diagnosis sangat bergantung pada penilaian klinis yang cermat melalui anamnesis dan pemeriksaan fisik yang sistematis</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Skor dehidrasi klinis, seperti yang dikembangkan oleh WHO atau Clinical Dehydration Scale (CDS), yang memasukkan parameter seperti keadaan umum, mata, air mata, membran mukosa, dan turgor kulit, menjadi alat bantu yang sangat berharga</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Temuan seperti mata cowong, seperti yang terlihat pada kasus ini, merupakan penanda yang memiliki nilai prediktif tinggi</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sz w:val="24"/>
          <w:szCs w:val="24"/>
          <w:rtl w:val="0"/>
        </w:rPr>
        <w:t xml:space="preserve">. Pemeriksaan laboratorium seperti hematokrit, ureum-kreatinin rasio, dan kadar bikarbonat serum dapat digunakan sebagai penunjang untuk mengkonfirmasi dan menilai beratnya dehidrasi, meskipun tidak selalu diperlukan pada kasus ringan-sedang</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Penatalaksanaan GEA menekankan pentingnya rehidrasi yang cepat dan tepat sebagai landasan terapi</w:t>
      </w:r>
      <w:r w:rsidDel="00000000" w:rsidR="00000000" w:rsidRPr="00000000">
        <w:rPr>
          <w:rFonts w:ascii="Times New Roman" w:cs="Times New Roman" w:eastAsia="Times New Roman" w:hAnsi="Times New Roman"/>
          <w:sz w:val="24"/>
          <w:szCs w:val="24"/>
          <w:vertAlign w:val="superscript"/>
          <w:rtl w:val="0"/>
        </w:rPr>
        <w:t xml:space="preserve">4,5</w:t>
      </w:r>
      <w:r w:rsidDel="00000000" w:rsidR="00000000" w:rsidRPr="00000000">
        <w:rPr>
          <w:rFonts w:ascii="Times New Roman" w:cs="Times New Roman" w:eastAsia="Times New Roman" w:hAnsi="Times New Roman"/>
          <w:sz w:val="24"/>
          <w:szCs w:val="24"/>
          <w:rtl w:val="0"/>
        </w:rPr>
        <w:t xml:space="preserve">. Prinsip utama adalah mengoreksi defisit cairan yang sudah terjadi dan mengganti kehilangan yang sedang berlangsung. Rehidrasi oral dengan cairan osmolaritas rendah (Oralit) merupakan pilihan pertama pada dehidrasi ringan-sedang tanpa muntah yang signifikan</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Namun, pada keadaan dengan muntah persisten, penurunan kesadaran, atau dehidrasi berat, rehidrasi intravena menjadi modalitas yang esensial</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Pemilihan cairan intravena harus mempertimbangkan status elektrolit pasien. Pemberian cairan yang terlambat atau tidak adekuat terbukti meningkatkan risiko komplikasi, termasuk syok hipovolemik dan gagal ginjal akut</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Selain terapi rehidrasi, pemberian zinc secara empiris telah menjadi standar global karena bukti kuat yang menunjukkan kemampuannya dalam memperpendek durasi dan keparahan diare, serta mengurangi risiko episode diare dalam 2-3 bulan ke depan</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 Probiotik strain tertentu juga menunjukkan manfaat dalam membantu pemulihan keseimbangan mikrobiota usus</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Morbiditas terkait GEA dan dehidrasi masih merupakan masalah kesehatan masyarakat, terutama di daerah dengan sumber daya terbatas</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Faktor risiko yang meningkatkan morbiditas termasuk usia muda (bayi), status gizi kurang, keterlambatan akses ke pelayanan kesehatan, dan tatalaksana rehidrasi yang tidak optimal</w:t>
      </w:r>
      <w:r w:rsidDel="00000000" w:rsidR="00000000" w:rsidRPr="00000000">
        <w:rPr>
          <w:rFonts w:ascii="Times New Roman" w:cs="Times New Roman" w:eastAsia="Times New Roman" w:hAnsi="Times New Roman"/>
          <w:sz w:val="24"/>
          <w:szCs w:val="24"/>
          <w:vertAlign w:val="superscript"/>
          <w:rtl w:val="0"/>
        </w:rPr>
        <w:t xml:space="preserve">2,5</w:t>
      </w:r>
      <w:r w:rsidDel="00000000" w:rsidR="00000000" w:rsidRPr="00000000">
        <w:rPr>
          <w:rFonts w:ascii="Times New Roman" w:cs="Times New Roman" w:eastAsia="Times New Roman" w:hAnsi="Times New Roman"/>
          <w:sz w:val="24"/>
          <w:szCs w:val="24"/>
          <w:rtl w:val="0"/>
        </w:rPr>
        <w:t xml:space="preserve">. Selain dampak akut, episode diare berulang berhubungan dengan malnutrisi dan gangguan tumbuh kembang jangka panjang, menciptakan siklus yang sulit diputus</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Meskipun mortalitas langsung akibat dehidrasi oleh GEA dapat dikurangi dengan tatalaksana yang baik, beban penyakit secara keseluruhan tetap tinggi</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Upaya pencegahan GEA mencakup promosi pemberian ASI eksklusif, penerapan praktik higiene dan sanitasi yang baik (seperti cuci tangan pakai sabun), pemberian imunisasi rotavirus, serta penyediaan akses air bersih</w:t>
      </w:r>
      <w:r w:rsidDel="00000000" w:rsidR="00000000" w:rsidRPr="00000000">
        <w:rPr>
          <w:rFonts w:ascii="Times New Roman" w:cs="Times New Roman" w:eastAsia="Times New Roman" w:hAnsi="Times New Roman"/>
          <w:sz w:val="24"/>
          <w:szCs w:val="24"/>
          <w:vertAlign w:val="superscript"/>
          <w:rtl w:val="0"/>
        </w:rPr>
        <w:t xml:space="preserve">1,5</w:t>
      </w:r>
      <w:r w:rsidDel="00000000" w:rsidR="00000000" w:rsidRPr="00000000">
        <w:rPr>
          <w:rFonts w:ascii="Times New Roman" w:cs="Times New Roman" w:eastAsia="Times New Roman" w:hAnsi="Times New Roman"/>
          <w:sz w:val="24"/>
          <w:szCs w:val="24"/>
          <w:rtl w:val="0"/>
        </w:rPr>
        <w:t xml:space="preserve">. Implementasi pedoman nasional dan internasional dalam tata laksana diare akut pada anak, yang menekankan rehidrasi tepat, pemberian zinc, dan edukasi terus-menerus, terbukti membantu menurunkan variasi praktik klinis dan meningkatkan luaran pasien</w:t>
      </w:r>
      <w:r w:rsidDel="00000000" w:rsidR="00000000" w:rsidRPr="00000000">
        <w:rPr>
          <w:rFonts w:ascii="Times New Roman" w:cs="Times New Roman" w:eastAsia="Times New Roman" w:hAnsi="Times New Roman"/>
          <w:sz w:val="24"/>
          <w:szCs w:val="24"/>
          <w:vertAlign w:val="superscript"/>
          <w:rtl w:val="0"/>
        </w:rPr>
        <w:t xml:space="preserve">3,5</w:t>
      </w:r>
      <w:r w:rsidDel="00000000" w:rsidR="00000000" w:rsidRPr="00000000">
        <w:rPr>
          <w:rFonts w:ascii="Times New Roman" w:cs="Times New Roman" w:eastAsia="Times New Roman" w:hAnsi="Times New Roman"/>
          <w:sz w:val="24"/>
          <w:szCs w:val="24"/>
          <w:rtl w:val="0"/>
        </w:rPr>
        <w:t xml:space="preserve">. Pendekatan multidisipliner yang melibatkan dokter, perawat, ahli gizi, dan tenaga kesehatan masyarakat, serta keterlibatan aktif orang tua melalui edukasi yang efektif, sangat penting dalam upaya menurunkan beban penyakit gastroenteritis akut dan dehidrasi pada anak</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pStyle w:val="Heading2"/>
        <w:keepNext w:val="0"/>
        <w:keepLines w:val="0"/>
        <w:spacing w:after="80" w:lineRule="auto"/>
        <w:jc w:val="both"/>
        <w:rPr>
          <w:rFonts w:ascii="Times New Roman" w:cs="Times New Roman" w:eastAsia="Times New Roman" w:hAnsi="Times New Roman"/>
          <w:sz w:val="24"/>
          <w:szCs w:val="24"/>
        </w:rPr>
      </w:pPr>
      <w:bookmarkStart w:colFirst="0" w:colLast="0" w:name="_e8mfc8c1ng5h" w:id="5"/>
      <w:bookmarkEnd w:id="5"/>
      <w:r w:rsidDel="00000000" w:rsidR="00000000" w:rsidRPr="00000000">
        <w:rPr>
          <w:rFonts w:ascii="Times New Roman" w:cs="Times New Roman" w:eastAsia="Times New Roman" w:hAnsi="Times New Roman"/>
          <w:b w:val="1"/>
          <w:bCs w:val="1"/>
          <w:sz w:val="24"/>
          <w:szCs w:val="24"/>
          <w:rtl w:val="0"/>
        </w:rPr>
        <w:t xml:space="preserve">Kesimpulan</w:t>
      </w:r>
      <w:r w:rsidDel="00000000" w:rsidR="00000000" w:rsidRPr="00000000">
        <w:rPr>
          <w:rtl w:val="0"/>
        </w:rPr>
      </w:r>
    </w:p>
    <w:p w:rsidR="00000000" w:rsidDel="00000000" w:rsidP="00000000" w:rsidRDefault="00000000" w:rsidRPr="00000000" w14:paraId="00000017">
      <w:pPr>
        <w:shd w:fill="ffffff" w:val="clea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f1115"/>
          <w:sz w:val="24"/>
          <w:szCs w:val="24"/>
          <w:rtl w:val="0"/>
        </w:rPr>
        <w:t xml:space="preserve">Gastroenteritis akut pada anak merupakan kondisi yang sering dijumpai dan berpotensi serius akibat komplikasi dehidrasi yang dapat ditimbulkannya. Kasus yang dipaparkan mengilustrasikan bahwa bahkan pada anak dengan status gizi baik, GEA dapat menyebabkan dehidrasi ringan-sedang yang memerlukan intervensi medis. Keberhasilan penatalaksanaan sangat bergantung pada kemampuan klinisi dalam melakukan penilaian derajat dehidrasi secara akurat, khususnya dengan mengenali tanda-tanda awal seperti mata cowong. Rehidrasi yang cepat dan adekuat, baik melalui rute oral maupun intravena sesuai indikasi, tetap menjadi landasan terapi yang paling kritis. Ditunjang oleh pemberian terapi adjuvan berbasis bukti seperti zinc dan probiotik, serta edukasi orang tua yang komprehensif mengenai nutrisi dan pencegahan, luaran pasien dapat dioptimalkan. Oleh karena itu, pendekatan holistik dan terstandarisasi dalam menangani GEA pada anak sangat diperlukan untuk menekan angka morbiditas dan mencegah komplikasi yang lebih berat.</w:t>
      </w:r>
      <w:r w:rsidDel="00000000" w:rsidR="00000000" w:rsidRPr="00000000">
        <w:rPr>
          <w:rtl w:val="0"/>
        </w:rPr>
      </w:r>
    </w:p>
    <w:p w:rsidR="00000000" w:rsidDel="00000000" w:rsidP="00000000" w:rsidRDefault="00000000" w:rsidRPr="00000000" w14:paraId="00000018">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5h4vqz22rf3k" w:id="6"/>
      <w:bookmarkEnd w:id="6"/>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9">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f1115"/>
          <w:sz w:val="24"/>
          <w:szCs w:val="24"/>
          <w:rtl w:val="0"/>
        </w:rPr>
        <w:t xml:space="preserve">World Health Organization. Diarrhoeal disease [Internet]. 2017 [cited 2024 Mar]. Available from: </w:t>
      </w:r>
      <w:hyperlink r:id="rId6">
        <w:r w:rsidDel="00000000" w:rsidR="00000000" w:rsidRPr="00000000">
          <w:rPr>
            <w:rFonts w:ascii="Times New Roman" w:cs="Times New Roman" w:eastAsia="Times New Roman" w:hAnsi="Times New Roman"/>
            <w:color w:val="3964fe"/>
            <w:sz w:val="24"/>
            <w:szCs w:val="24"/>
            <w:rtl w:val="0"/>
          </w:rPr>
          <w:t xml:space="preserve">https://www.who.int/news-room/fact-sheets/detail/diarrhoeal-disease</w:t>
        </w:r>
      </w:hyperlink>
      <w:r w:rsidDel="00000000" w:rsidR="00000000" w:rsidRPr="00000000">
        <w:rPr>
          <w:rtl w:val="0"/>
        </w:rPr>
      </w:r>
    </w:p>
    <w:p w:rsidR="00000000" w:rsidDel="00000000" w:rsidP="00000000" w:rsidRDefault="00000000" w:rsidRPr="00000000" w14:paraId="0000001A">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Kementerian Kesehatan Republik Indonesia. Profil Kesehatan Indonesia Tahun 2019. Jakarta: Kemenkes RI; 2020.</w:t>
      </w:r>
    </w:p>
    <w:p w:rsidR="00000000" w:rsidDel="00000000" w:rsidP="00000000" w:rsidRDefault="00000000" w:rsidRPr="00000000" w14:paraId="0000001B">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Guarino A, Ashkenazi S, Gendrel D, Lo Vecchio A, Shamir R, Szajewska H, et al. European Society for Pediatric Gastroenterology, Hepatology, and Nutrition/European Society for Pediatric Infectious Diseases evidence-based guidelines for the management of acute gastroenteritis in children in Europe: update 2014. J Pediatr Gastroenterol Nutr. 2014;59(1):132-52.</w:t>
      </w:r>
    </w:p>
    <w:p w:rsidR="00000000" w:rsidDel="00000000" w:rsidP="00000000" w:rsidRDefault="00000000" w:rsidRPr="00000000" w14:paraId="0000001C">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King CK, Glass R, Bresee JS, Duggan C. Managing acute gastroenteritis among children: oral rehydration, maintenance, and nutritional therapy. MMWR Recomm Rep. 2003;52(RR-16):1-16.</w:t>
      </w:r>
    </w:p>
    <w:p w:rsidR="00000000" w:rsidDel="00000000" w:rsidP="00000000" w:rsidRDefault="00000000" w:rsidRPr="00000000" w14:paraId="0000001D">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Ikatan Dokter Anak Indonesia. Rekomendasi Penatalaksanaan Diare Akut pada Anak. Jakarta: Badan Penerbit IDAI; 2017.</w:t>
      </w:r>
    </w:p>
    <w:p w:rsidR="00000000" w:rsidDel="00000000" w:rsidP="00000000" w:rsidRDefault="00000000" w:rsidRPr="00000000" w14:paraId="0000001E">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Florez ID, Niño-Serna LF, Beltrán-Arroyave CP. Acute Infectious Diarrhea and Gastroenteritis in Children. Curr Infect Dis Rep. 2020;22(2):4.</w:t>
      </w:r>
    </w:p>
    <w:p w:rsidR="00000000" w:rsidDel="00000000" w:rsidP="00000000" w:rsidRDefault="00000000" w:rsidRPr="00000000" w14:paraId="0000001F">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Hartman S, Brown E, Loomis E, Russell HA. Gastroenteritis in Children. Am Fam Physician. 2019;99(3):159-65.</w:t>
      </w:r>
    </w:p>
    <w:p w:rsidR="00000000" w:rsidDel="00000000" w:rsidP="00000000" w:rsidRDefault="00000000" w:rsidRPr="00000000" w14:paraId="00000020">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Lazzerini M, Wanzira H. Oral zinc for treating diarrhoea in children. Cochrane Database Syst Rev. 2016;12(12):CD005436.</w:t>
      </w:r>
    </w:p>
    <w:p w:rsidR="00000000" w:rsidDel="00000000" w:rsidP="00000000" w:rsidRDefault="00000000" w:rsidRPr="00000000" w14:paraId="00000021">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Szajewska H, Canani RB, Guarino A, Hojsak I, Indrio F, Kolacek S, et al. Probiotics for the prevention of antibiotic-associated diarrhea in children. J Pediatr Gastroenterol Nutr. 2016;62(3):495-506.</w:t>
      </w:r>
    </w:p>
    <w:p w:rsidR="00000000" w:rsidDel="00000000" w:rsidP="00000000" w:rsidRDefault="00000000" w:rsidRPr="00000000" w14:paraId="00000022">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Freedman SB, Pasichnyk D, Black KJ, Fitzpatrick E, Gouin S, Milne A, et al. Gastroenteritis Therapies in Developed Countries: Systematic Review and Meta-Analysis. PLoS One. 2015;10(6):e0128754.</w:t>
      </w:r>
    </w:p>
    <w:p w:rsidR="00000000" w:rsidDel="00000000" w:rsidP="00000000" w:rsidRDefault="00000000" w:rsidRPr="00000000" w14:paraId="00000023">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Sudarmo SM, Ranuh RG, Attiyah AF. Pedoman Diagnosis dan Terapi, Bagian SMF Ilmu Kesehatan Anak (Edisi III) Rumah Sakit Umum Dokter Soetomo. Surabaya: Airlangga University Press; 2008.</w:t>
      </w:r>
    </w:p>
    <w:p w:rsidR="00000000" w:rsidDel="00000000" w:rsidP="00000000" w:rsidRDefault="00000000" w:rsidRPr="00000000" w14:paraId="00000024">
      <w:pPr>
        <w:numPr>
          <w:ilvl w:val="0"/>
          <w:numId w:val="1"/>
        </w:numPr>
        <w:shd w:fill="ffffff" w:val="clear"/>
        <w:spacing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Amin LZ. Tatalaksana Diare Akut. Continuing Medical Education. 2015;42(7):504-508.</w:t>
      </w:r>
      <w:r w:rsidDel="00000000" w:rsidR="00000000" w:rsidRPr="00000000">
        <w:rPr>
          <w:rtl w:val="0"/>
        </w:rPr>
      </w:r>
    </w:p>
    <w:p w:rsidR="00000000" w:rsidDel="00000000" w:rsidP="00000000" w:rsidRDefault="00000000" w:rsidRPr="00000000" w14:paraId="0000002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57150" cy="88138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57150" cy="8813800"/>
                    </a:xfrm>
                    <a:prstGeom prst="rect"/>
                    <a:ln/>
                  </pic:spPr>
                </pic:pic>
              </a:graphicData>
            </a:graphic>
          </wp:inline>
        </w:drawing>
      </w:r>
      <w:r w:rsidDel="00000000" w:rsidR="00000000" w:rsidRPr="00000000">
        <w:rPr>
          <w:rtl w:val="0"/>
        </w:rPr>
      </w:r>
    </w:p>
    <w:sectPr>
      <w:pgSz w:h="16834" w:w="11909" w:orient="portrait"/>
      <w:pgMar w:bottom="1440" w:top="1440" w:left="1440" w:right="1399.133858267717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who.int/news-room/fact-sheets/detail/diarrhoeal-disease" TargetMode="Externa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